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A6D6E">
      <w:pPr>
        <w:pStyle w:val="121"/>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bookmarkStart w:id="1" w:name="temp_sel"/>
      <w:r>
        <w:rPr>
          <w:rFonts w:hint="eastAsia"/>
        </w:rPr>
        <w:t>77.040.01</w:t>
      </w:r>
      <w:bookmarkEnd w:id="1"/>
      <w:r>
        <w:fldChar w:fldCharType="end"/>
      </w:r>
      <w:bookmarkEnd w:id="0"/>
    </w:p>
    <w:p w14:paraId="16B4D9D3">
      <w:pPr>
        <w:pStyle w:val="121"/>
        <w:framePr w:wrap="around"/>
      </w:pPr>
      <w:bookmarkStart w:id="2"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H 20</w:t>
      </w:r>
      <w:r>
        <w:fldChar w:fldCharType="end"/>
      </w:r>
      <w:bookmarkEnd w:id="2"/>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4D209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3315245B">
            <w:pPr>
              <w:pStyle w:val="121"/>
              <w:framePr w:wrap="around"/>
            </w:pPr>
            <w:r>
              <w:pict>
                <v:rect id="BAH" o:spid="_x0000_s2050" o:spt="1" style="position:absolute;left:0pt;margin-left:-5.25pt;margin-top:0pt;height:15.6pt;width:68.25pt;z-index:-251652096;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433Nh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DTjfc2EQIAAC4EAAAOAAAAAAAA&#10;AAEAIAAAACQBAABkcnMvZTJvRG9jLnhtbFBLBQYAAAAABgAGAFkBAACnBQAAAAA=&#10;">
                  <v:path/>
                  <v:fill focussize="0,0"/>
                  <v:stroke on="f"/>
                  <v:imagedata o:title=""/>
                  <o:lock v:ext="edit"/>
                </v:rect>
              </w:pict>
            </w:r>
            <w:r>
              <w:fldChar w:fldCharType="begin">
                <w:ffData>
                  <w:name w:val="BAH"/>
                  <w:enabled/>
                  <w:calcOnExit w:val="0"/>
                  <w:textInput/>
                </w:ffData>
              </w:fldChar>
            </w:r>
            <w:bookmarkStart w:id="3" w:name="BAH"/>
            <w:r>
              <w:instrText xml:space="preserve"> FORMTEXT </w:instrText>
            </w:r>
            <w:r>
              <w:fldChar w:fldCharType="separate"/>
            </w:r>
            <w:r>
              <w:t>     </w:t>
            </w:r>
            <w:r>
              <w:fldChar w:fldCharType="end"/>
            </w:r>
            <w:bookmarkEnd w:id="3"/>
          </w:p>
        </w:tc>
      </w:tr>
    </w:tbl>
    <w:p w14:paraId="75C554D4">
      <w:pPr>
        <w:pStyle w:val="107"/>
        <w:framePr w:wrap="around"/>
      </w:pPr>
      <w:r>
        <w:rPr>
          <w:rFonts w:hint="eastAsia"/>
        </w:rPr>
        <w:t>T</w:t>
      </w:r>
      <w:r>
        <w:t>/</w:t>
      </w:r>
      <w:bookmarkStart w:id="4" w:name="c5"/>
      <w:r>
        <w:fldChar w:fldCharType="begin">
          <w:ffData>
            <w:name w:val="c5"/>
            <w:enabled/>
            <w:calcOnExit w:val="0"/>
            <w:entryMacro w:val="ShowHelp17"/>
            <w:textInput/>
          </w:ffData>
        </w:fldChar>
      </w:r>
      <w:r>
        <w:instrText xml:space="preserve"> FORMTEXT </w:instrText>
      </w:r>
      <w:r>
        <w:fldChar w:fldCharType="separate"/>
      </w:r>
      <w:r>
        <w:rPr>
          <w:rFonts w:hint="eastAsia"/>
        </w:rPr>
        <w:t>CNS</w:t>
      </w:r>
      <w:r>
        <w:fldChar w:fldCharType="end"/>
      </w:r>
      <w:bookmarkEnd w:id="4"/>
    </w:p>
    <w:p w14:paraId="2E542FBE">
      <w:pPr>
        <w:pStyle w:val="108"/>
        <w:framePr w:wrap="around"/>
        <w:rPr>
          <w:rFonts w:ascii="Times New Roman" w:hAnsi="Times New Roman"/>
        </w:rPr>
      </w:pPr>
      <w:r>
        <w:rPr>
          <w:rFonts w:hint="eastAsia"/>
        </w:rPr>
        <w:t>团体标准</w:t>
      </w:r>
    </w:p>
    <w:p w14:paraId="6EB8670F">
      <w:pPr>
        <w:pStyle w:val="45"/>
        <w:framePr w:wrap="around"/>
        <w:rPr>
          <w:rFonts w:hAnsi="黑体"/>
        </w:rPr>
      </w:pPr>
      <w:r>
        <w:rPr>
          <w:rFonts w:hint="eastAsia" w:ascii="Times New Roman"/>
        </w:rPr>
        <w:t>T</w:t>
      </w:r>
      <w:r>
        <w:rPr>
          <w:rFonts w:ascii="Times New Roman"/>
        </w:rPr>
        <w:t>/</w:t>
      </w:r>
      <w:bookmarkStart w:id="5" w:name="StdNo0"/>
      <w:r>
        <w:rPr>
          <w:rFonts w:ascii="Times New Roman"/>
        </w:rPr>
        <w:fldChar w:fldCharType="begin">
          <w:ffData>
            <w:name w:val="StdNo0"/>
            <w:enabled/>
            <w:calcOnExit w:val="0"/>
            <w:textInput>
              <w:default w:val="XXX"/>
            </w:textInput>
          </w:ffData>
        </w:fldChar>
      </w:r>
      <w:r>
        <w:rPr>
          <w:rFonts w:ascii="Times New Roman"/>
        </w:rPr>
        <w:instrText xml:space="preserve"> FORMTEXT </w:instrText>
      </w:r>
      <w:r>
        <w:rPr>
          <w:rFonts w:ascii="Times New Roman"/>
        </w:rPr>
        <w:fldChar w:fldCharType="separate"/>
      </w:r>
      <w:r>
        <w:rPr>
          <w:rFonts w:ascii="Times New Roman"/>
        </w:rPr>
        <w:t>CNS</w:t>
      </w:r>
      <w:r>
        <w:rPr>
          <w:rFonts w:ascii="Times New Roman"/>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1D1A4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33569EE4">
            <w:pPr>
              <w:pStyle w:val="74"/>
              <w:framePr w:wrap="around"/>
            </w:pPr>
            <w:bookmarkStart w:id="8" w:name="DT"/>
            <w:r>
              <w:pict>
                <v:rect id="DT" o:spid="_x0000_s3078" o:spt="1" style="position:absolute;left:0pt;margin-left:372.8pt;margin-top:2.7pt;height:18pt;width:90pt;z-index:-251655168;mso-width-relative:page;mso-height-relative:page;"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9jvpYNAgAALgQAAA4AAABkcnMvZTJvRG9jLnhtbK1TwW7b&#10;MAy9D9g/CLovtrO0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7/OcRiQpNp/fXJMdS4jydNuhD58U9CwaFUeac0IXh3sfxtRTSuoejK632pjkYLtbG2QHQTux&#10;Td+E7i/TjI3JFuK1EXE8UWmrpjInnqNeO6ifiTPCuGb0yMjoAH9xNtCKVdz/3AtUnJnPlnT7WCwW&#10;cSeTs7j6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CPY76WDQIAAC4EAAAOAAAAAAAAAAEA&#10;IAAAACUBAABkcnMvZTJvRG9jLnhtbFBLBQYAAAAABgAGAFkBAACkBQAAAAA=&#10;">
                  <v:path/>
                  <v:fill focussize="0,0"/>
                  <v:stroke on="f"/>
                  <v:imagedata o:title=""/>
                  <o:lock v:ext="edit"/>
                </v:rect>
              </w:pic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154DA3E8">
      <w:pPr>
        <w:pStyle w:val="45"/>
        <w:framePr w:wrap="around"/>
        <w:rPr>
          <w:rFonts w:hAnsi="黑体"/>
        </w:rPr>
      </w:pPr>
    </w:p>
    <w:p w14:paraId="5E95ACCF">
      <w:pPr>
        <w:pStyle w:val="45"/>
        <w:framePr w:wrap="around"/>
        <w:rPr>
          <w:rFonts w:hAnsi="黑体"/>
        </w:rPr>
      </w:pPr>
    </w:p>
    <w:p w14:paraId="2F135D83">
      <w:pPr>
        <w:pStyle w:val="76"/>
        <w:framePr w:wrap="around" w:x="1424" w:y="6374"/>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高温气冷堆核动力厂</w:t>
      </w:r>
    </w:p>
    <w:p w14:paraId="14F73C0A">
      <w:pPr>
        <w:pStyle w:val="76"/>
        <w:framePr w:wrap="around" w:x="1424" w:y="6374"/>
      </w:pPr>
      <w:r>
        <w:rPr>
          <w:rFonts w:hint="eastAsia"/>
        </w:rPr>
        <w:t>多样性触发系统技术要求</w:t>
      </w:r>
      <w:r>
        <w:fldChar w:fldCharType="end"/>
      </w:r>
      <w:bookmarkEnd w:id="9"/>
    </w:p>
    <w:p w14:paraId="6BC7101D">
      <w:pPr>
        <w:pStyle w:val="77"/>
        <w:framePr w:wrap="around" w:x="1424" w:y="6374"/>
      </w:pPr>
      <w:bookmarkStart w:id="10" w:name="StdEnglishName"/>
      <w:r>
        <w:rPr>
          <w:b/>
          <w:bCs/>
        </w:rPr>
        <w:fldChar w:fldCharType="begin">
          <w:ffData>
            <w:name w:val="StdEnglishName"/>
            <w:enabled/>
            <w:calcOnExit w:val="0"/>
            <w:textInput>
              <w:default w:val="点击此处添加标准英文译名"/>
            </w:textInput>
          </w:ffData>
        </w:fldChar>
      </w:r>
      <w:r>
        <w:rPr>
          <w:b/>
          <w:bCs/>
        </w:rPr>
        <w:instrText xml:space="preserve"> FORMTEXT </w:instrText>
      </w:r>
      <w:r>
        <w:rPr>
          <w:b/>
          <w:bCs/>
        </w:rPr>
        <w:fldChar w:fldCharType="separate"/>
      </w:r>
      <w:r>
        <w:rPr>
          <w:rFonts w:hint="eastAsia"/>
          <w:b/>
          <w:bCs/>
        </w:rPr>
        <w:t>T</w:t>
      </w:r>
      <w:r>
        <w:rPr>
          <w:b/>
          <w:bCs/>
        </w:rPr>
        <w:t>echnical requirements for the diverse actuation system of high-temperature gas-cooled reactor nuclear power plants</w:t>
      </w:r>
      <w:r>
        <w:rPr>
          <w:b/>
          <w:bCs/>
        </w:rPr>
        <w:fldChar w:fldCharType="end"/>
      </w:r>
      <w:bookmarkEnd w:id="10"/>
    </w:p>
    <w:p w14:paraId="4EC2297C">
      <w:pPr>
        <w:pStyle w:val="78"/>
        <w:framePr w:wrap="around" w:x="1424" w:y="6374"/>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6920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9BE6B1E">
            <w:pPr>
              <w:pStyle w:val="79"/>
              <w:framePr w:wrap="around" w:x="1424" w:y="6374"/>
            </w:pPr>
            <w:r>
              <w:pict>
                <v:rect id="RQ" o:spid="_x0000_s3077" o:spt="1" style="position:absolute;left:0pt;margin-left:173.3pt;margin-top:45.15pt;height:20pt;width:150pt;z-index:-251653120;mso-width-relative:page;mso-height-relative:page;"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e6cKkwwCAAAuBAAADgAAAAAAAAABACAA&#10;AAAkAQAAZHJzL2Uyb0RvYy54bWxQSwUGAAAAAAYABgBZAQAAogUAAAAA&#10;">
                  <v:path/>
                  <v:fill focussize="0,0"/>
                  <v:stroke on="f"/>
                  <v:imagedata o:title=""/>
                  <o:lock v:ext="edit"/>
                  <w10:anchorlock/>
                </v:rect>
              </w:pict>
            </w:r>
            <w:r>
              <w:pict>
                <v:rect id="LB" o:spid="_x0000_s3076" o:spt="1" style="position:absolute;left:0pt;margin-left:193.3pt;margin-top:20.15pt;height:24pt;width:100pt;z-index:-251654144;mso-width-relative:page;mso-height-relative:page;"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DudS0MMAgAALgQAAA4AAAAAAAAAAQAg&#10;AAAAJQEAAGRycy9lMm9Eb2MueG1sUEsFBgAAAAAGAAYAWQEAAKMFAAAAAA==&#10;">
                  <v:path/>
                  <v:fill focussize="0,0"/>
                  <v:stroke on="f"/>
                  <v:imagedata o:title=""/>
                  <o:lock v:ext="edit"/>
                </v:rec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7EF05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ED43B37">
            <w:pPr>
              <w:pStyle w:val="80"/>
              <w:framePr w:wrap="around" w:x="1424" w:y="6374"/>
            </w:pPr>
            <w:bookmarkStart w:id="13" w:name="WCRQ"/>
            <w:r>
              <w:fldChar w:fldCharType="begin">
                <w:ffData>
                  <w:name w:val="WCRQ"/>
                  <w:enabled/>
                  <w:calcOnExit w:val="0"/>
                  <w:textInput/>
                </w:ffData>
              </w:fldChar>
            </w:r>
            <w:r>
              <w:instrText xml:space="preserve"> FORMTEXT </w:instrText>
            </w:r>
            <w:r>
              <w:fldChar w:fldCharType="separate"/>
            </w:r>
            <w:r>
              <w:rPr>
                <w:rFonts w:hint="eastAsia"/>
              </w:rPr>
              <w:t>（本稿完成日期：2026年 月）</w:t>
            </w:r>
            <w:r>
              <w:fldChar w:fldCharType="end"/>
            </w:r>
            <w:bookmarkEnd w:id="13"/>
          </w:p>
        </w:tc>
      </w:tr>
    </w:tbl>
    <w:p w14:paraId="651BEC69">
      <w:pPr>
        <w:pStyle w:val="129"/>
        <w:framePr w:wrap="around" w:hAnchor="page" w:x="1414" w:y="14116"/>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w:pict>
          <v:line id="Line 10" o:spid="_x0000_s3075" o:spt="20" style="position:absolute;left:0pt;margin-left:-0.05pt;margin-top:728.5pt;height:0pt;width:481.9pt;mso-position-vertical-relative:page;z-index:251659264;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5yXznOAQAArg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qcp8uqXSpfWeclxGYP6rSLV2lojKW3y8rlPXltFwFffrP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HazzWAAAACwEAAA8AAAAAAAAAAQAgAAAAIgAAAGRy&#10;cy9kb3ducmV2LnhtbFBLAQIUABQAAAAIAIdO4kCucl85zgEAAK4DAAAOAAAAAAAAAAEAIAAAACUB&#10;AABkcnMvZTJvRG9jLnhtbFBLBQYAAAAABgAGAFkBAABlBQAAAAA=&#10;">
            <v:path arrowok="t"/>
            <v:fill focussize="0,0"/>
            <v:stroke/>
            <v:imagedata o:title=""/>
            <o:lock v:ext="edit"/>
            <w10:anchorlock/>
          </v:line>
        </w:pict>
      </w:r>
    </w:p>
    <w:p w14:paraId="7B49573A">
      <w:pPr>
        <w:pStyle w:val="130"/>
        <w:framePr w:wrap="around" w:hAnchor="page" w:x="6969"/>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7A4392A">
      <w:pPr>
        <w:pStyle w:val="109"/>
        <w:framePr w:wrap="around"/>
      </w:pPr>
      <w:bookmarkStart w:id="19" w:name="fm"/>
      <w:r>
        <w:fldChar w:fldCharType="begin">
          <w:ffData>
            <w:name w:val="fm"/>
            <w:enabled/>
            <w:calcOnExit w:val="0"/>
            <w:textInput/>
          </w:ffData>
        </w:fldChar>
      </w:r>
      <w:r>
        <w:instrText xml:space="preserve"> FORMTEXT </w:instrText>
      </w:r>
      <w:r>
        <w:fldChar w:fldCharType="separate"/>
      </w:r>
      <w:r>
        <w:rPr>
          <w:rFonts w:hint="eastAsia"/>
        </w:rPr>
        <w:t>中国核学会</w:t>
      </w:r>
      <w:r>
        <w:fldChar w:fldCharType="end"/>
      </w:r>
      <w:bookmarkEnd w:id="19"/>
      <w:r>
        <w:rPr>
          <w:rFonts w:hAnsi="黑体"/>
        </w:rPr>
        <w:t>   </w:t>
      </w:r>
      <w:r>
        <w:rPr>
          <w:rStyle w:val="71"/>
          <w:rFonts w:hint="eastAsia"/>
        </w:rPr>
        <w:t>发布</w:t>
      </w:r>
    </w:p>
    <w:p w14:paraId="0231EC15">
      <w:pPr>
        <w:pStyle w:val="22"/>
        <w:sectPr>
          <w:pgSz w:w="11906" w:h="16838"/>
          <w:pgMar w:top="567" w:right="850" w:bottom="1134" w:left="1418" w:header="0" w:footer="0" w:gutter="0"/>
          <w:pgNumType w:start="1"/>
          <w:cols w:space="425" w:num="1"/>
          <w:docGrid w:type="lines" w:linePitch="312" w:charSpace="0"/>
        </w:sectPr>
      </w:pPr>
      <w:r>
        <w:pict>
          <v:line id="Line 11" o:spid="_x0000_s3074" o:spt="20" style="position:absolute;left:0pt;margin-left:-0.05pt;margin-top:184.25pt;height:0pt;width:481.9pt;z-index:251660288;mso-width-relative:page;mso-height-relative:page;"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&#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1aufHc4BAACuAwAADgAAAAAAAAABACAAAAAm&#10;AQAAZHJzL2Uyb0RvYy54bWxQSwUGAAAAAAYABgBZAQAAZgUAAAAA&#10;">
            <v:path arrowok="t"/>
            <v:fill focussize="0,0"/>
            <v:stroke/>
            <v:imagedata o:title=""/>
            <o:lock v:ext="edit"/>
          </v:line>
        </w:pict>
      </w:r>
    </w:p>
    <w:p w14:paraId="503AA3B7">
      <w:pPr>
        <w:pStyle w:val="48"/>
      </w:pPr>
      <w:bookmarkStart w:id="20" w:name="_Toc83904436"/>
      <w:bookmarkStart w:id="21" w:name="_Toc85033958"/>
      <w:bookmarkStart w:id="22" w:name="_Toc115420329"/>
      <w:bookmarkStart w:id="23" w:name="_Toc83904485"/>
      <w:bookmarkStart w:id="24" w:name="_Toc84947312"/>
      <w:r>
        <w:rPr>
          <w:rFonts w:hint="eastAsia"/>
        </w:rPr>
        <w:t>目</w:t>
      </w:r>
      <w:bookmarkStart w:id="25" w:name="BKML"/>
      <w:r>
        <w:rPr>
          <w:rFonts w:hAnsi="黑体"/>
        </w:rPr>
        <w:t>  </w:t>
      </w:r>
      <w:r>
        <w:rPr>
          <w:rFonts w:hint="eastAsia"/>
        </w:rPr>
        <w:t>次</w:t>
      </w:r>
      <w:bookmarkEnd w:id="25"/>
    </w:p>
    <w:p w14:paraId="74A78543">
      <w:pPr>
        <w:pStyle w:val="18"/>
        <w:spacing w:before="78" w:after="78"/>
        <w:rPr>
          <w:rFonts w:asciiTheme="minorHAnsi" w:hAnsiTheme="minorHAnsi" w:eastAsiaTheme="minorEastAsia" w:cstheme="minorBidi"/>
          <w:sz w:val="22"/>
          <w:szCs w:val="24"/>
        </w:rPr>
      </w:pPr>
      <w:r>
        <w:rPr>
          <w:rStyle w:val="36"/>
          <w:rFonts w:hint="eastAsia"/>
        </w:rPr>
        <w:fldChar w:fldCharType="begin"/>
      </w:r>
      <w:r>
        <w:rPr>
          <w:rStyle w:val="36"/>
          <w:rFonts w:hint="eastAsia" w:hAnsi="宋体" w:cs="宋体"/>
        </w:rPr>
        <w:instrText xml:space="preserve"> TOC \h \z \t "前言、引言标题,1,参考文献、索引标题,1,章标题,1,参考文献,1,附录标识,1" </w:instrText>
      </w:r>
      <w:r>
        <w:rPr>
          <w:rStyle w:val="36"/>
          <w:rFonts w:hint="eastAsia"/>
        </w:rPr>
        <w:fldChar w:fldCharType="separate"/>
      </w:r>
      <w:r>
        <w:fldChar w:fldCharType="begin"/>
      </w:r>
      <w:r>
        <w:instrText xml:space="preserve"> HYPERLINK \l "_Toc219385422" </w:instrText>
      </w:r>
      <w:r>
        <w:fldChar w:fldCharType="separate"/>
      </w:r>
      <w:r>
        <w:rPr>
          <w:rStyle w:val="36"/>
        </w:rPr>
        <w:t>前  言</w:t>
      </w:r>
      <w:r>
        <w:tab/>
      </w:r>
      <w:r>
        <w:fldChar w:fldCharType="begin"/>
      </w:r>
      <w:r>
        <w:instrText xml:space="preserve"> PAGEREF _Toc219385422 \h </w:instrText>
      </w:r>
      <w:r>
        <w:fldChar w:fldCharType="separate"/>
      </w:r>
      <w:r>
        <w:t>II</w:t>
      </w:r>
      <w:r>
        <w:fldChar w:fldCharType="end"/>
      </w:r>
      <w:r>
        <w:fldChar w:fldCharType="end"/>
      </w:r>
    </w:p>
    <w:p w14:paraId="59B04DC1">
      <w:pPr>
        <w:pStyle w:val="18"/>
        <w:spacing w:before="78" w:after="78"/>
        <w:rPr>
          <w:rFonts w:asciiTheme="minorHAnsi" w:hAnsiTheme="minorHAnsi" w:eastAsiaTheme="minorEastAsia" w:cstheme="minorBidi"/>
          <w:sz w:val="22"/>
          <w:szCs w:val="24"/>
        </w:rPr>
      </w:pPr>
      <w:r>
        <w:fldChar w:fldCharType="begin"/>
      </w:r>
      <w:r>
        <w:instrText xml:space="preserve"> HYPERLINK \l "_Toc219385423" </w:instrText>
      </w:r>
      <w:r>
        <w:fldChar w:fldCharType="separate"/>
      </w:r>
      <w:r>
        <w:rPr>
          <w:rStyle w:val="36"/>
        </w:rPr>
        <w:t>1 范围</w:t>
      </w:r>
      <w:r>
        <w:tab/>
      </w:r>
      <w:r>
        <w:fldChar w:fldCharType="begin"/>
      </w:r>
      <w:r>
        <w:instrText xml:space="preserve"> PAGEREF _Toc219385423 \h </w:instrText>
      </w:r>
      <w:r>
        <w:fldChar w:fldCharType="separate"/>
      </w:r>
      <w:r>
        <w:t>1</w:t>
      </w:r>
      <w:r>
        <w:fldChar w:fldCharType="end"/>
      </w:r>
      <w:r>
        <w:fldChar w:fldCharType="end"/>
      </w:r>
    </w:p>
    <w:p w14:paraId="5BA3CD0A">
      <w:pPr>
        <w:pStyle w:val="18"/>
        <w:spacing w:before="78" w:after="78"/>
        <w:rPr>
          <w:rFonts w:asciiTheme="minorHAnsi" w:hAnsiTheme="minorHAnsi" w:eastAsiaTheme="minorEastAsia" w:cstheme="minorBidi"/>
          <w:sz w:val="22"/>
          <w:szCs w:val="24"/>
        </w:rPr>
      </w:pPr>
      <w:r>
        <w:fldChar w:fldCharType="begin"/>
      </w:r>
      <w:r>
        <w:instrText xml:space="preserve"> HYPERLINK \l "_Toc219385424" </w:instrText>
      </w:r>
      <w:r>
        <w:fldChar w:fldCharType="separate"/>
      </w:r>
      <w:r>
        <w:rPr>
          <w:rStyle w:val="36"/>
        </w:rPr>
        <w:t>2 规范性引用文件</w:t>
      </w:r>
      <w:r>
        <w:tab/>
      </w:r>
      <w:r>
        <w:fldChar w:fldCharType="begin"/>
      </w:r>
      <w:r>
        <w:instrText xml:space="preserve"> PAGEREF _Toc219385424 \h </w:instrText>
      </w:r>
      <w:r>
        <w:fldChar w:fldCharType="separate"/>
      </w:r>
      <w:r>
        <w:t>1</w:t>
      </w:r>
      <w:r>
        <w:fldChar w:fldCharType="end"/>
      </w:r>
      <w:r>
        <w:fldChar w:fldCharType="end"/>
      </w:r>
    </w:p>
    <w:p w14:paraId="35FDD000">
      <w:pPr>
        <w:pStyle w:val="18"/>
        <w:spacing w:before="78" w:after="78"/>
        <w:rPr>
          <w:rFonts w:asciiTheme="minorHAnsi" w:hAnsiTheme="minorHAnsi" w:eastAsiaTheme="minorEastAsia" w:cstheme="minorBidi"/>
          <w:sz w:val="22"/>
          <w:szCs w:val="24"/>
        </w:rPr>
      </w:pPr>
      <w:r>
        <w:fldChar w:fldCharType="begin"/>
      </w:r>
      <w:r>
        <w:instrText xml:space="preserve"> HYPERLINK \l "_Toc219385425" </w:instrText>
      </w:r>
      <w:r>
        <w:fldChar w:fldCharType="separate"/>
      </w:r>
      <w:r>
        <w:rPr>
          <w:rStyle w:val="36"/>
        </w:rPr>
        <w:t>3 术语和定义</w:t>
      </w:r>
      <w:r>
        <w:tab/>
      </w:r>
      <w:r>
        <w:fldChar w:fldCharType="begin"/>
      </w:r>
      <w:r>
        <w:instrText xml:space="preserve"> PAGEREF _Toc219385425 \h </w:instrText>
      </w:r>
      <w:r>
        <w:fldChar w:fldCharType="separate"/>
      </w:r>
      <w:r>
        <w:t>1</w:t>
      </w:r>
      <w:r>
        <w:fldChar w:fldCharType="end"/>
      </w:r>
      <w:r>
        <w:fldChar w:fldCharType="end"/>
      </w:r>
    </w:p>
    <w:p w14:paraId="652161E5">
      <w:pPr>
        <w:pStyle w:val="18"/>
        <w:spacing w:before="78" w:after="78"/>
        <w:rPr>
          <w:rFonts w:asciiTheme="minorHAnsi" w:hAnsiTheme="minorHAnsi" w:eastAsiaTheme="minorEastAsia" w:cstheme="minorBidi"/>
          <w:sz w:val="22"/>
          <w:szCs w:val="24"/>
        </w:rPr>
      </w:pPr>
      <w:r>
        <w:fldChar w:fldCharType="begin"/>
      </w:r>
      <w:r>
        <w:instrText xml:space="preserve"> HYPERLINK \l "_Toc219385426" </w:instrText>
      </w:r>
      <w:r>
        <w:fldChar w:fldCharType="separate"/>
      </w:r>
      <w:r>
        <w:rPr>
          <w:rStyle w:val="36"/>
        </w:rPr>
        <w:t>4 系统功能和分级</w:t>
      </w:r>
      <w:r>
        <w:tab/>
      </w:r>
      <w:r>
        <w:fldChar w:fldCharType="begin"/>
      </w:r>
      <w:r>
        <w:instrText xml:space="preserve"> PAGEREF _Toc219385426 \h </w:instrText>
      </w:r>
      <w:r>
        <w:fldChar w:fldCharType="separate"/>
      </w:r>
      <w:r>
        <w:t>1</w:t>
      </w:r>
      <w:r>
        <w:fldChar w:fldCharType="end"/>
      </w:r>
      <w:r>
        <w:fldChar w:fldCharType="end"/>
      </w:r>
    </w:p>
    <w:p w14:paraId="4CB57C7C">
      <w:pPr>
        <w:pStyle w:val="18"/>
        <w:spacing w:before="78" w:after="78"/>
        <w:rPr>
          <w:rFonts w:asciiTheme="minorHAnsi" w:hAnsiTheme="minorHAnsi" w:eastAsiaTheme="minorEastAsia" w:cstheme="minorBidi"/>
          <w:sz w:val="22"/>
          <w:szCs w:val="24"/>
        </w:rPr>
      </w:pPr>
      <w:r>
        <w:fldChar w:fldCharType="begin"/>
      </w:r>
      <w:r>
        <w:instrText xml:space="preserve"> HYPERLINK \l "_Toc219385427" </w:instrText>
      </w:r>
      <w:r>
        <w:fldChar w:fldCharType="separate"/>
      </w:r>
      <w:r>
        <w:rPr>
          <w:rStyle w:val="36"/>
        </w:rPr>
        <w:t>5 系统设计基准</w:t>
      </w:r>
      <w:r>
        <w:tab/>
      </w:r>
      <w:r>
        <w:fldChar w:fldCharType="begin"/>
      </w:r>
      <w:r>
        <w:instrText xml:space="preserve"> PAGEREF _Toc219385427 \h </w:instrText>
      </w:r>
      <w:r>
        <w:fldChar w:fldCharType="separate"/>
      </w:r>
      <w:r>
        <w:t>1</w:t>
      </w:r>
      <w:r>
        <w:fldChar w:fldCharType="end"/>
      </w:r>
      <w:r>
        <w:fldChar w:fldCharType="end"/>
      </w:r>
    </w:p>
    <w:p w14:paraId="69758945">
      <w:pPr>
        <w:pStyle w:val="18"/>
        <w:spacing w:before="78" w:after="78"/>
        <w:rPr>
          <w:rFonts w:asciiTheme="minorHAnsi" w:hAnsiTheme="minorHAnsi" w:eastAsiaTheme="minorEastAsia" w:cstheme="minorBidi"/>
          <w:sz w:val="22"/>
          <w:szCs w:val="24"/>
        </w:rPr>
      </w:pPr>
      <w:r>
        <w:fldChar w:fldCharType="begin"/>
      </w:r>
      <w:r>
        <w:instrText xml:space="preserve"> HYPERLINK \l "_Toc219385428" </w:instrText>
      </w:r>
      <w:r>
        <w:fldChar w:fldCharType="separate"/>
      </w:r>
      <w:r>
        <w:rPr>
          <w:rStyle w:val="36"/>
        </w:rPr>
        <w:t>6 核心技术要求</w:t>
      </w:r>
      <w:r>
        <w:tab/>
      </w:r>
      <w:r>
        <w:fldChar w:fldCharType="begin"/>
      </w:r>
      <w:r>
        <w:instrText xml:space="preserve"> PAGEREF _Toc219385428 \h </w:instrText>
      </w:r>
      <w:r>
        <w:fldChar w:fldCharType="separate"/>
      </w:r>
      <w:r>
        <w:t>2</w:t>
      </w:r>
      <w:r>
        <w:fldChar w:fldCharType="end"/>
      </w:r>
      <w:r>
        <w:fldChar w:fldCharType="end"/>
      </w:r>
    </w:p>
    <w:p w14:paraId="5D200F4E">
      <w:pPr>
        <w:pStyle w:val="18"/>
        <w:spacing w:before="78" w:after="78"/>
        <w:rPr>
          <w:rFonts w:asciiTheme="minorHAnsi" w:hAnsiTheme="minorHAnsi" w:eastAsiaTheme="minorEastAsia" w:cstheme="minorBidi"/>
          <w:sz w:val="22"/>
          <w:szCs w:val="24"/>
        </w:rPr>
      </w:pPr>
      <w:r>
        <w:fldChar w:fldCharType="begin"/>
      </w:r>
      <w:r>
        <w:instrText xml:space="preserve"> HYPERLINK \l "_Toc219385429" </w:instrText>
      </w:r>
      <w:r>
        <w:fldChar w:fldCharType="separate"/>
      </w:r>
      <w:r>
        <w:rPr>
          <w:rStyle w:val="36"/>
        </w:rPr>
        <w:t>7 维护和周期性校验</w:t>
      </w:r>
      <w:r>
        <w:tab/>
      </w:r>
      <w:r>
        <w:fldChar w:fldCharType="begin"/>
      </w:r>
      <w:r>
        <w:instrText xml:space="preserve"> PAGEREF _Toc219385429 \h </w:instrText>
      </w:r>
      <w:r>
        <w:fldChar w:fldCharType="separate"/>
      </w:r>
      <w:r>
        <w:t>3</w:t>
      </w:r>
      <w:r>
        <w:fldChar w:fldCharType="end"/>
      </w:r>
      <w:r>
        <w:fldChar w:fldCharType="end"/>
      </w:r>
    </w:p>
    <w:p w14:paraId="31F80B1D">
      <w:pPr>
        <w:pStyle w:val="18"/>
        <w:spacing w:before="78" w:after="78"/>
        <w:rPr>
          <w:rFonts w:asciiTheme="minorHAnsi" w:hAnsiTheme="minorHAnsi" w:eastAsiaTheme="minorEastAsia" w:cstheme="minorBidi"/>
          <w:sz w:val="22"/>
          <w:szCs w:val="24"/>
        </w:rPr>
      </w:pPr>
      <w:r>
        <w:fldChar w:fldCharType="begin"/>
      </w:r>
      <w:r>
        <w:instrText xml:space="preserve"> HYPERLINK \l "_Toc219385430" </w:instrText>
      </w:r>
      <w:r>
        <w:fldChar w:fldCharType="separate"/>
      </w:r>
      <w:r>
        <w:rPr>
          <w:rStyle w:val="36"/>
        </w:rPr>
        <w:t>8 安全分析</w:t>
      </w:r>
      <w:r>
        <w:tab/>
      </w:r>
      <w:r>
        <w:fldChar w:fldCharType="begin"/>
      </w:r>
      <w:r>
        <w:instrText xml:space="preserve"> PAGEREF _Toc219385430 \h </w:instrText>
      </w:r>
      <w:r>
        <w:fldChar w:fldCharType="separate"/>
      </w:r>
      <w:r>
        <w:t>3</w:t>
      </w:r>
      <w:r>
        <w:fldChar w:fldCharType="end"/>
      </w:r>
      <w:r>
        <w:fldChar w:fldCharType="end"/>
      </w:r>
    </w:p>
    <w:p w14:paraId="13CF20F8">
      <w:pPr>
        <w:pStyle w:val="18"/>
        <w:spacing w:before="78" w:after="78"/>
        <w:rPr>
          <w:rFonts w:ascii="Times New Roman"/>
        </w:rPr>
      </w:pPr>
      <w:r>
        <w:rPr>
          <w:rFonts w:hint="eastAsia" w:hAnsi="宋体" w:cs="宋体"/>
        </w:rPr>
        <w:fldChar w:fldCharType="end"/>
      </w:r>
    </w:p>
    <w:p w14:paraId="0C307DDF">
      <w:r>
        <w:rPr>
          <w:rFonts w:hint="eastAsia"/>
        </w:rPr>
        <w:br w:type="page"/>
      </w:r>
    </w:p>
    <w:p w14:paraId="3B599B32">
      <w:pPr>
        <w:pStyle w:val="110"/>
        <w:tabs>
          <w:tab w:val="left" w:pos="1527"/>
          <w:tab w:val="center" w:pos="4677"/>
        </w:tabs>
      </w:pPr>
      <w:bookmarkStart w:id="26" w:name="_Toc219385422"/>
      <w:bookmarkStart w:id="27" w:name="_Toc141087993"/>
      <w:r>
        <w:rPr>
          <w:rFonts w:hint="eastAsia"/>
        </w:rPr>
        <w:t>前</w:t>
      </w:r>
      <w:bookmarkStart w:id="28" w:name="BKQY"/>
      <w:r>
        <w:t>  </w:t>
      </w:r>
      <w:r>
        <w:rPr>
          <w:rFonts w:hint="eastAsia"/>
        </w:rPr>
        <w:t>言</w:t>
      </w:r>
      <w:bookmarkEnd w:id="20"/>
      <w:bookmarkEnd w:id="21"/>
      <w:bookmarkEnd w:id="22"/>
      <w:bookmarkEnd w:id="23"/>
      <w:bookmarkEnd w:id="24"/>
      <w:bookmarkEnd w:id="26"/>
      <w:bookmarkEnd w:id="27"/>
      <w:bookmarkEnd w:id="28"/>
    </w:p>
    <w:p w14:paraId="77A39611">
      <w:pPr>
        <w:pStyle w:val="22"/>
      </w:pPr>
      <w:r>
        <w:rPr>
          <w:rFonts w:hint="eastAsia"/>
        </w:rPr>
        <w:t>本文件按照GB/T 1.1—2020《标准化工作导则 第1部分：标准化文件的结构和起草规则》的规定起草。</w:t>
      </w:r>
    </w:p>
    <w:p w14:paraId="59C10043">
      <w:pPr>
        <w:pStyle w:val="22"/>
      </w:pPr>
      <w:r>
        <w:rPr>
          <w:rFonts w:hint="eastAsia"/>
        </w:rPr>
        <w:t>请注意本文件的某些内容可能涉及专利。本文件的发布机构不承担识别专利的责任。</w:t>
      </w:r>
    </w:p>
    <w:p w14:paraId="5C33EE5E">
      <w:pPr>
        <w:pStyle w:val="22"/>
        <w:rPr>
          <w:rFonts w:ascii="Times New Roman"/>
        </w:rPr>
      </w:pPr>
      <w:r>
        <w:rPr>
          <w:rFonts w:ascii="Times New Roman"/>
        </w:rPr>
        <w:t>本</w:t>
      </w:r>
      <w:r>
        <w:rPr>
          <w:rFonts w:hint="eastAsia" w:ascii="Times New Roman"/>
        </w:rPr>
        <w:t>文件</w:t>
      </w:r>
      <w:r>
        <w:rPr>
          <w:rFonts w:ascii="Times New Roman"/>
        </w:rPr>
        <w:t>由中国核学会提出。</w:t>
      </w:r>
    </w:p>
    <w:p w14:paraId="4F4C78CB">
      <w:pPr>
        <w:pStyle w:val="22"/>
        <w:rPr>
          <w:rFonts w:ascii="Times New Roman"/>
        </w:rPr>
      </w:pPr>
      <w:r>
        <w:rPr>
          <w:rFonts w:ascii="Times New Roman"/>
        </w:rPr>
        <w:t>本</w:t>
      </w:r>
      <w:r>
        <w:rPr>
          <w:rFonts w:hint="eastAsia" w:ascii="Times New Roman"/>
        </w:rPr>
        <w:t>文件</w:t>
      </w:r>
      <w:r>
        <w:rPr>
          <w:rFonts w:ascii="Times New Roman"/>
        </w:rPr>
        <w:t>由核工业标准化研究所归口。</w:t>
      </w:r>
    </w:p>
    <w:p w14:paraId="43C2EC1F">
      <w:pPr>
        <w:pStyle w:val="22"/>
        <w:rPr>
          <w:rFonts w:ascii="Times New Roman"/>
        </w:rPr>
      </w:pPr>
      <w:r>
        <w:rPr>
          <w:rFonts w:ascii="Times New Roman"/>
        </w:rPr>
        <w:t>本</w:t>
      </w:r>
      <w:r>
        <w:rPr>
          <w:rFonts w:hint="eastAsia" w:ascii="Times New Roman"/>
        </w:rPr>
        <w:t>文件</w:t>
      </w:r>
      <w:r>
        <w:rPr>
          <w:rFonts w:ascii="Times New Roman"/>
        </w:rPr>
        <w:t>起草单位：</w:t>
      </w:r>
      <w:r>
        <w:rPr>
          <w:rFonts w:hint="eastAsia" w:ascii="Times New Roman"/>
        </w:rPr>
        <w:t>清华大学核能与新技术研究院</w:t>
      </w:r>
      <w:r>
        <w:rPr>
          <w:rFonts w:ascii="Times New Roman"/>
        </w:rPr>
        <w:t>。</w:t>
      </w:r>
    </w:p>
    <w:p w14:paraId="27E93C14">
      <w:pPr>
        <w:pStyle w:val="22"/>
        <w:rPr>
          <w:rFonts w:ascii="Times New Roman"/>
        </w:rPr>
      </w:pPr>
      <w:r>
        <w:rPr>
          <w:rFonts w:ascii="Times New Roman"/>
        </w:rPr>
        <w:t>本</w:t>
      </w:r>
      <w:r>
        <w:rPr>
          <w:rFonts w:hint="eastAsia" w:ascii="Times New Roman"/>
        </w:rPr>
        <w:t>文件</w:t>
      </w:r>
      <w:r>
        <w:rPr>
          <w:rFonts w:ascii="Times New Roman"/>
        </w:rPr>
        <w:t>主要起草人：</w:t>
      </w:r>
      <w:r>
        <w:rPr>
          <w:rFonts w:hint="eastAsia"/>
        </w:rPr>
        <w:t>李江海</w:t>
      </w:r>
      <w:r>
        <w:rPr>
          <w:rFonts w:hint="eastAsia" w:ascii="Times New Roman"/>
        </w:rPr>
        <w:t>、</w:t>
      </w:r>
      <w:r>
        <w:rPr>
          <w:rFonts w:hint="eastAsia"/>
        </w:rPr>
        <w:t>贾倩倩</w:t>
      </w:r>
      <w:r>
        <w:rPr>
          <w:rFonts w:hint="eastAsia" w:ascii="Times New Roman"/>
        </w:rPr>
        <w:t>、</w:t>
      </w:r>
      <w:r>
        <w:rPr>
          <w:rFonts w:hint="eastAsia"/>
        </w:rPr>
        <w:t>黄晓津</w:t>
      </w:r>
      <w:r>
        <w:rPr>
          <w:rFonts w:hint="eastAsia" w:ascii="Times New Roman"/>
        </w:rPr>
        <w:t>、</w:t>
      </w:r>
      <w:r>
        <w:rPr>
          <w:rFonts w:hint="eastAsia"/>
        </w:rPr>
        <w:t>李铎、于晖</w:t>
      </w:r>
      <w:r>
        <w:rPr>
          <w:rFonts w:ascii="Times New Roman"/>
        </w:rPr>
        <w:t>。</w:t>
      </w:r>
    </w:p>
    <w:p w14:paraId="39B28470">
      <w:pPr>
        <w:pStyle w:val="22"/>
        <w:rPr>
          <w:rFonts w:ascii="Times New Roman"/>
        </w:rPr>
      </w:pPr>
      <w:r>
        <w:rPr>
          <w:rFonts w:hint="eastAsia" w:ascii="Times New Roman"/>
        </w:rPr>
        <w:t>本文件为首次发布。</w:t>
      </w:r>
    </w:p>
    <w:p w14:paraId="108F86DF">
      <w:pPr>
        <w:pStyle w:val="22"/>
      </w:pPr>
    </w:p>
    <w:p w14:paraId="6D35C5BE">
      <w:pPr>
        <w:pStyle w:val="22"/>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14:paraId="42EFF4B9">
      <w:pPr>
        <w:pStyle w:val="48"/>
      </w:pPr>
      <w:r>
        <w:rPr>
          <w:rFonts w:hint="eastAsia"/>
        </w:rPr>
        <w:t>高温气冷堆核动力厂多样性触发系统技术要求</w:t>
      </w:r>
    </w:p>
    <w:p w14:paraId="0A8C29DD">
      <w:pPr>
        <w:pStyle w:val="43"/>
        <w:spacing w:before="312" w:after="312"/>
      </w:pPr>
      <w:bookmarkStart w:id="29" w:name="_Toc219385423"/>
      <w:bookmarkStart w:id="30" w:name="_Toc115420330"/>
      <w:bookmarkStart w:id="31" w:name="_Toc85033959"/>
      <w:bookmarkStart w:id="32" w:name="_Toc84947313"/>
      <w:bookmarkStart w:id="33" w:name="_Toc141087994"/>
      <w:r>
        <w:rPr>
          <w:rFonts w:hint="eastAsia"/>
        </w:rPr>
        <w:t>范围</w:t>
      </w:r>
      <w:bookmarkEnd w:id="29"/>
      <w:bookmarkEnd w:id="30"/>
      <w:bookmarkEnd w:id="31"/>
      <w:bookmarkEnd w:id="32"/>
      <w:bookmarkEnd w:id="33"/>
    </w:p>
    <w:p w14:paraId="3E2EAFCB">
      <w:pPr>
        <w:pStyle w:val="22"/>
      </w:pPr>
      <w:r>
        <w:rPr>
          <w:rFonts w:hint="eastAsia"/>
        </w:rPr>
        <w:t>本文件规定了</w:t>
      </w:r>
      <w:r>
        <w:rPr>
          <w:rFonts w:ascii="Times New Roman"/>
        </w:rPr>
        <w:t>球床式高温气冷堆（下文简称</w:t>
      </w:r>
      <w:r>
        <w:rPr>
          <w:rFonts w:hint="eastAsia" w:ascii="Times New Roman"/>
        </w:rPr>
        <w:t>“</w:t>
      </w:r>
      <w:r>
        <w:rPr>
          <w:rFonts w:ascii="Times New Roman"/>
        </w:rPr>
        <w:t>高温气冷堆</w:t>
      </w:r>
      <w:r>
        <w:rPr>
          <w:rFonts w:hint="eastAsia" w:ascii="Times New Roman"/>
        </w:rPr>
        <w:t>“</w:t>
      </w:r>
      <w:r>
        <w:rPr>
          <w:rFonts w:ascii="Times New Roman"/>
        </w:rPr>
        <w:t>）</w:t>
      </w:r>
      <w:r>
        <w:rPr>
          <w:rFonts w:hint="eastAsia"/>
        </w:rPr>
        <w:t>核动力厂多样性触发系统技术要求</w:t>
      </w:r>
      <w:r>
        <w:rPr>
          <w:rFonts w:ascii="Times New Roman"/>
        </w:rPr>
        <w:t>。</w:t>
      </w:r>
    </w:p>
    <w:p w14:paraId="201AD48B">
      <w:pPr>
        <w:pStyle w:val="22"/>
      </w:pPr>
      <w:r>
        <w:rPr>
          <w:rFonts w:hint="eastAsia"/>
        </w:rPr>
        <w:t>本文件适用于高温气冷堆核动力电厂多样性触发系统设计。</w:t>
      </w:r>
    </w:p>
    <w:p w14:paraId="40588B26">
      <w:pPr>
        <w:pStyle w:val="43"/>
        <w:spacing w:before="312" w:after="312"/>
      </w:pPr>
      <w:bookmarkStart w:id="34" w:name="_Toc219385424"/>
      <w:bookmarkStart w:id="35" w:name="_Toc84947314"/>
      <w:bookmarkStart w:id="36" w:name="_Toc85033960"/>
      <w:bookmarkStart w:id="37" w:name="_Toc115420331"/>
      <w:bookmarkStart w:id="38" w:name="_Toc141087995"/>
      <w:r>
        <w:rPr>
          <w:rFonts w:hint="eastAsia"/>
        </w:rPr>
        <w:t>规范性引用文件</w:t>
      </w:r>
      <w:bookmarkEnd w:id="34"/>
      <w:bookmarkEnd w:id="35"/>
      <w:bookmarkEnd w:id="36"/>
      <w:bookmarkEnd w:id="37"/>
      <w:bookmarkEnd w:id="38"/>
    </w:p>
    <w:p w14:paraId="1FDF028E">
      <w:pPr>
        <w:pStyle w:val="22"/>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2B360D3C">
      <w:pPr>
        <w:pStyle w:val="22"/>
        <w:rPr>
          <w:rFonts w:ascii="Times New Roman"/>
        </w:rPr>
      </w:pPr>
      <w:bookmarkStart w:id="39" w:name="_Hlk225757263"/>
      <w:r>
        <w:rPr>
          <w:rFonts w:hint="eastAsia" w:ascii="Times New Roman"/>
        </w:rPr>
        <w:t>HAD 102/10 核动力厂仪表和控制系统设计</w:t>
      </w:r>
    </w:p>
    <w:bookmarkEnd w:id="39"/>
    <w:p w14:paraId="53A682EC">
      <w:pPr>
        <w:pStyle w:val="43"/>
        <w:spacing w:before="312" w:after="312"/>
      </w:pPr>
      <w:bookmarkStart w:id="40" w:name="_Toc141087996"/>
      <w:bookmarkStart w:id="41" w:name="_Toc85033961"/>
      <w:bookmarkStart w:id="42" w:name="_Toc115420332"/>
      <w:bookmarkStart w:id="43" w:name="_Toc84947315"/>
      <w:bookmarkStart w:id="44" w:name="_Toc219385425"/>
      <w:r>
        <w:rPr>
          <w:rFonts w:hint="eastAsia"/>
        </w:rPr>
        <w:t>术语和定义</w:t>
      </w:r>
      <w:bookmarkEnd w:id="40"/>
      <w:bookmarkEnd w:id="41"/>
      <w:bookmarkEnd w:id="42"/>
      <w:bookmarkEnd w:id="43"/>
      <w:bookmarkEnd w:id="44"/>
    </w:p>
    <w:p w14:paraId="35F9868E">
      <w:pPr>
        <w:pStyle w:val="22"/>
        <w:ind w:left="141" w:leftChars="67"/>
        <w:rPr>
          <w:rFonts w:ascii="Times New Roman"/>
          <w:szCs w:val="21"/>
        </w:rPr>
      </w:pPr>
      <w:r>
        <w:rPr>
          <w:rFonts w:ascii="Times New Roman"/>
          <w:szCs w:val="21"/>
        </w:rPr>
        <w:t>下列术语和定义适用于本文件。</w:t>
      </w:r>
      <w:bookmarkStart w:id="45" w:name="_Toc48658974"/>
      <w:bookmarkEnd w:id="45"/>
      <w:bookmarkStart w:id="46" w:name="_Toc48658976"/>
      <w:bookmarkEnd w:id="46"/>
      <w:bookmarkStart w:id="47" w:name="_Toc48658972"/>
      <w:bookmarkEnd w:id="47"/>
      <w:bookmarkStart w:id="48" w:name="_Toc48658970"/>
      <w:bookmarkEnd w:id="48"/>
      <w:bookmarkStart w:id="49" w:name="_Toc48658968"/>
      <w:bookmarkEnd w:id="49"/>
      <w:bookmarkStart w:id="50" w:name="_Toc48658966"/>
      <w:bookmarkEnd w:id="50"/>
    </w:p>
    <w:p w14:paraId="40ABC1DD">
      <w:pPr>
        <w:pStyle w:val="40"/>
        <w:spacing w:beforeLines="0" w:afterLines="0"/>
        <w:rPr>
          <w:rFonts w:ascii="Times New Roman"/>
        </w:rPr>
      </w:pPr>
    </w:p>
    <w:p w14:paraId="183911AE">
      <w:pPr>
        <w:pStyle w:val="40"/>
        <w:numPr>
          <w:ilvl w:val="255"/>
          <w:numId w:val="0"/>
        </w:numPr>
        <w:spacing w:beforeLines="0" w:afterLines="0"/>
        <w:ind w:firstLine="420" w:firstLineChars="200"/>
        <w:rPr>
          <w:rFonts w:ascii="Times New Roman"/>
        </w:rPr>
      </w:pPr>
      <w:r>
        <w:rPr>
          <w:rFonts w:hint="eastAsia"/>
          <w:szCs w:val="28"/>
        </w:rPr>
        <w:t>未能紧急停堆的预期运行瞬变</w:t>
      </w:r>
      <w:r>
        <w:rPr>
          <w:rFonts w:ascii="Times New Roman"/>
        </w:rPr>
        <w:t xml:space="preserve">  </w:t>
      </w:r>
      <w:r>
        <w:rPr>
          <w:rFonts w:hint="eastAsia" w:ascii="Times New Roman"/>
        </w:rPr>
        <w:t>A</w:t>
      </w:r>
      <w:r>
        <w:rPr>
          <w:rFonts w:ascii="Times New Roman"/>
        </w:rPr>
        <w:t xml:space="preserve">nticipated </w:t>
      </w:r>
      <w:r>
        <w:rPr>
          <w:rFonts w:hint="eastAsia" w:ascii="Times New Roman"/>
        </w:rPr>
        <w:t>T</w:t>
      </w:r>
      <w:r>
        <w:rPr>
          <w:rFonts w:ascii="Times New Roman"/>
        </w:rPr>
        <w:t xml:space="preserve">ransient </w:t>
      </w:r>
      <w:r>
        <w:rPr>
          <w:rFonts w:hint="eastAsia" w:ascii="Times New Roman"/>
        </w:rPr>
        <w:t>W</w:t>
      </w:r>
      <w:r>
        <w:rPr>
          <w:rFonts w:ascii="Times New Roman"/>
        </w:rPr>
        <w:t xml:space="preserve">ithout </w:t>
      </w:r>
      <w:r>
        <w:rPr>
          <w:rFonts w:hint="eastAsia" w:ascii="Times New Roman"/>
        </w:rPr>
        <w:t>S</w:t>
      </w:r>
      <w:r>
        <w:rPr>
          <w:rFonts w:ascii="Times New Roman"/>
        </w:rPr>
        <w:t>cram</w:t>
      </w:r>
      <w:r>
        <w:rPr>
          <w:rFonts w:hint="eastAsia" w:ascii="Times New Roman"/>
        </w:rPr>
        <w:t xml:space="preserve"> (ATWS)</w:t>
      </w:r>
    </w:p>
    <w:p w14:paraId="6068043F">
      <w:pPr>
        <w:pStyle w:val="22"/>
        <w:rPr>
          <w:rFonts w:ascii="Times New Roman"/>
        </w:rPr>
      </w:pPr>
      <w:r>
        <w:rPr>
          <w:rFonts w:hint="eastAsia" w:ascii="Times New Roman"/>
        </w:rPr>
        <w:t>核动力厂运行中出现预计瞬变导致物理参数达到保护阈值却未触发紧急停堆机制的事故类型，属于超设计基准事故</w:t>
      </w:r>
      <w:r>
        <w:rPr>
          <w:rFonts w:ascii="Times New Roman"/>
        </w:rPr>
        <w:t>。</w:t>
      </w:r>
    </w:p>
    <w:p w14:paraId="1177BC08">
      <w:pPr>
        <w:pStyle w:val="40"/>
        <w:spacing w:beforeLines="0" w:afterLines="0"/>
        <w:rPr>
          <w:rFonts w:ascii="Times New Roman"/>
        </w:rPr>
      </w:pPr>
    </w:p>
    <w:p w14:paraId="39753BE6">
      <w:pPr>
        <w:pStyle w:val="40"/>
        <w:numPr>
          <w:ilvl w:val="255"/>
          <w:numId w:val="0"/>
        </w:numPr>
        <w:spacing w:beforeLines="0" w:afterLines="0"/>
        <w:ind w:firstLine="420" w:firstLineChars="200"/>
        <w:rPr>
          <w:rFonts w:ascii="Times New Roman"/>
        </w:rPr>
      </w:pPr>
      <w:r>
        <w:rPr>
          <w:rFonts w:hint="eastAsia" w:ascii="Times New Roman"/>
        </w:rPr>
        <w:t>多样性触发系统</w:t>
      </w:r>
      <w:r>
        <w:rPr>
          <w:rFonts w:ascii="Times New Roman"/>
        </w:rPr>
        <w:t xml:space="preserve"> </w:t>
      </w:r>
      <w:r>
        <w:rPr>
          <w:rFonts w:hint="eastAsia" w:ascii="Times New Roman"/>
        </w:rPr>
        <w:t>Diverse Actuation System (DAS)</w:t>
      </w:r>
    </w:p>
    <w:p w14:paraId="6187BAD9">
      <w:pPr>
        <w:pStyle w:val="22"/>
        <w:rPr>
          <w:rFonts w:ascii="Times New Roman"/>
        </w:rPr>
      </w:pPr>
      <w:r>
        <w:rPr>
          <w:rFonts w:hint="eastAsia" w:ascii="Times New Roman"/>
        </w:rPr>
        <w:t>在压水堆核电厂中为反应堆保护系统提供“多样性后备”的一套独立触发与执行装置。</w:t>
      </w:r>
    </w:p>
    <w:p w14:paraId="2F17FDEF">
      <w:pPr>
        <w:pStyle w:val="40"/>
        <w:spacing w:beforeLines="0" w:afterLines="0"/>
        <w:rPr>
          <w:rFonts w:ascii="Times New Roman"/>
        </w:rPr>
      </w:pPr>
    </w:p>
    <w:p w14:paraId="46759144">
      <w:pPr>
        <w:pStyle w:val="40"/>
        <w:numPr>
          <w:ilvl w:val="255"/>
          <w:numId w:val="0"/>
        </w:numPr>
        <w:spacing w:beforeLines="0" w:afterLines="0"/>
        <w:ind w:firstLine="420" w:firstLineChars="200"/>
        <w:rPr>
          <w:rFonts w:ascii="Times New Roman"/>
        </w:rPr>
      </w:pPr>
      <w:r>
        <w:rPr>
          <w:rFonts w:hint="eastAsia" w:ascii="Times New Roman"/>
        </w:rPr>
        <w:t>主氦风机停机多样性触发系统</w:t>
      </w:r>
      <w:r>
        <w:rPr>
          <w:rFonts w:ascii="Times New Roman"/>
        </w:rPr>
        <w:t xml:space="preserve"> </w:t>
      </w:r>
      <w:r>
        <w:rPr>
          <w:rFonts w:hint="eastAsia" w:ascii="Times New Roman"/>
        </w:rPr>
        <w:t>(CPE系统)</w:t>
      </w:r>
    </w:p>
    <w:p w14:paraId="2752B692">
      <w:pPr>
        <w:pStyle w:val="22"/>
        <w:rPr>
          <w:rFonts w:ascii="Times New Roman"/>
        </w:rPr>
      </w:pPr>
      <w:r>
        <w:rPr>
          <w:rFonts w:hint="eastAsia" w:ascii="Times New Roman"/>
        </w:rPr>
        <w:t>在高温气冷堆核动力厂中仅提供主氦风机停机功能的多样性触发系统。</w:t>
      </w:r>
    </w:p>
    <w:p w14:paraId="2B32C2DA">
      <w:pPr>
        <w:pStyle w:val="40"/>
        <w:spacing w:beforeLines="0" w:afterLines="0"/>
        <w:rPr>
          <w:rFonts w:ascii="Times New Roman"/>
        </w:rPr>
      </w:pPr>
    </w:p>
    <w:p w14:paraId="5569E76E">
      <w:pPr>
        <w:pStyle w:val="40"/>
        <w:numPr>
          <w:ilvl w:val="255"/>
          <w:numId w:val="0"/>
        </w:numPr>
        <w:spacing w:beforeLines="0" w:afterLines="0"/>
        <w:ind w:firstLine="420" w:firstLineChars="200"/>
        <w:rPr>
          <w:rFonts w:ascii="Times New Roman"/>
        </w:rPr>
      </w:pPr>
      <w:r>
        <w:rPr>
          <w:rFonts w:hint="eastAsia" w:ascii="Times New Roman"/>
        </w:rPr>
        <w:t>堆模块</w:t>
      </w:r>
    </w:p>
    <w:p w14:paraId="5AE056AD">
      <w:pPr>
        <w:pStyle w:val="22"/>
        <w:rPr>
          <w:rFonts w:ascii="Times New Roman"/>
        </w:rPr>
      </w:pPr>
      <w:r>
        <w:rPr>
          <w:rFonts w:hint="eastAsia" w:ascii="Times New Roman"/>
        </w:rPr>
        <w:t>多模块高温气冷堆核动力厂中设计相同的单个反应堆单元，即包含反应堆压力容器、堆芯、蒸汽发生器、主氦风机等的一整套独立系统。</w:t>
      </w:r>
    </w:p>
    <w:p w14:paraId="6B6A2461">
      <w:pPr>
        <w:pStyle w:val="40"/>
        <w:spacing w:beforeLines="0" w:afterLines="0"/>
        <w:rPr>
          <w:rFonts w:ascii="Times New Roman"/>
        </w:rPr>
      </w:pPr>
    </w:p>
    <w:p w14:paraId="62028EE7">
      <w:pPr>
        <w:pStyle w:val="40"/>
        <w:numPr>
          <w:ilvl w:val="255"/>
          <w:numId w:val="0"/>
        </w:numPr>
        <w:spacing w:beforeLines="0" w:afterLines="0"/>
        <w:ind w:firstLine="420" w:firstLineChars="200"/>
        <w:rPr>
          <w:rFonts w:ascii="Times New Roman"/>
        </w:rPr>
      </w:pPr>
      <w:r>
        <w:rPr>
          <w:rFonts w:hint="eastAsia" w:ascii="Times New Roman"/>
        </w:rPr>
        <w:t>堆模组</w:t>
      </w:r>
    </w:p>
    <w:p w14:paraId="173122E4">
      <w:pPr>
        <w:pStyle w:val="22"/>
        <w:rPr>
          <w:rFonts w:ascii="Times New Roman"/>
        </w:rPr>
      </w:pPr>
      <w:r>
        <w:rPr>
          <w:rFonts w:hint="eastAsia" w:ascii="Times New Roman"/>
        </w:rPr>
        <w:t>堆模组由若干堆模块组成，需一起停堆检修。</w:t>
      </w:r>
    </w:p>
    <w:p w14:paraId="531438AD">
      <w:pPr>
        <w:pStyle w:val="43"/>
        <w:spacing w:before="312" w:after="312"/>
      </w:pPr>
      <w:bookmarkStart w:id="51" w:name="_Toc219385426"/>
      <w:bookmarkStart w:id="52" w:name="_Toc139681737"/>
      <w:bookmarkStart w:id="53" w:name="_Toc153273784"/>
      <w:bookmarkStart w:id="54" w:name="_Toc139723528"/>
      <w:bookmarkStart w:id="55" w:name="_Toc517957215"/>
      <w:bookmarkStart w:id="56" w:name="_Toc517860466"/>
      <w:bookmarkStart w:id="57" w:name="_Toc153262238"/>
      <w:bookmarkStart w:id="58" w:name="_Toc139723394"/>
      <w:bookmarkStart w:id="59" w:name="_Toc517867553"/>
      <w:bookmarkStart w:id="60" w:name="_Toc517864617"/>
      <w:bookmarkStart w:id="61" w:name="_Toc517864661"/>
      <w:r>
        <w:rPr>
          <w:rFonts w:hint="eastAsia"/>
        </w:rPr>
        <w:t>系统功能和分级</w:t>
      </w:r>
      <w:bookmarkEnd w:id="51"/>
    </w:p>
    <w:p w14:paraId="49CF395C">
      <w:pPr>
        <w:pStyle w:val="40"/>
        <w:spacing w:beforeLines="0" w:afterLines="0"/>
        <w:rPr>
          <w:rFonts w:ascii="Times New Roman"/>
        </w:rPr>
      </w:pPr>
      <w:r>
        <w:rPr>
          <w:rFonts w:hint="eastAsia" w:ascii="Times New Roman"/>
        </w:rPr>
        <w:t>系统功能</w:t>
      </w:r>
      <w:r>
        <w:rPr>
          <w:rFonts w:ascii="Times New Roman"/>
        </w:rPr>
        <w:t xml:space="preserve">  </w:t>
      </w:r>
    </w:p>
    <w:p w14:paraId="2DD86992">
      <w:pPr>
        <w:pStyle w:val="22"/>
        <w:ind w:left="141" w:leftChars="67"/>
        <w:rPr>
          <w:rFonts w:ascii="Times New Roman"/>
          <w:szCs w:val="21"/>
        </w:rPr>
      </w:pPr>
      <w:r>
        <w:rPr>
          <w:rFonts w:hint="eastAsia" w:ascii="Times New Roman"/>
          <w:szCs w:val="21"/>
        </w:rPr>
        <w:t>主氦风机停机多样性触发系统（CPE系统）为高温气冷堆核动力厂每个堆模块/堆模组设置一套CPE装置，每套CPE装置监测一个堆模块/堆模组的一回路氦气冷端温度，当温度超过触发值时，自动执行下列动作：</w:t>
      </w:r>
    </w:p>
    <w:p w14:paraId="6256D623">
      <w:pPr>
        <w:pStyle w:val="22"/>
        <w:ind w:left="141" w:leftChars="67"/>
        <w:rPr>
          <w:rFonts w:ascii="Times New Roman"/>
          <w:szCs w:val="21"/>
        </w:rPr>
      </w:pPr>
      <w:r>
        <w:rPr>
          <w:rFonts w:hint="eastAsia" w:ascii="Times New Roman"/>
          <w:szCs w:val="21"/>
        </w:rPr>
        <w:t>a) 向主氦风机断路器发出脱扣信号，同时向主氦风机发出停机控制信号，两种信号均可使主氦风机停机；</w:t>
      </w:r>
    </w:p>
    <w:p w14:paraId="3861DD39">
      <w:pPr>
        <w:pStyle w:val="22"/>
        <w:ind w:left="141" w:leftChars="67"/>
        <w:rPr>
          <w:rFonts w:ascii="Times New Roman"/>
          <w:szCs w:val="21"/>
        </w:rPr>
      </w:pPr>
      <w:r>
        <w:rPr>
          <w:rFonts w:hint="eastAsia" w:ascii="Times New Roman"/>
          <w:szCs w:val="21"/>
        </w:rPr>
        <w:t>b) 向主氦风机挡板发出关闭信号，在电气控制回路内延迟后执行主氦风机挡板关闭。</w:t>
      </w:r>
    </w:p>
    <w:p w14:paraId="1D70ABC0">
      <w:pPr>
        <w:pStyle w:val="40"/>
        <w:spacing w:beforeLines="0" w:afterLines="0"/>
        <w:rPr>
          <w:rFonts w:ascii="Times New Roman"/>
        </w:rPr>
      </w:pPr>
      <w:r>
        <w:rPr>
          <w:rFonts w:hint="eastAsia" w:ascii="Times New Roman"/>
        </w:rPr>
        <w:t>系统分级</w:t>
      </w:r>
    </w:p>
    <w:p w14:paraId="0679A8A4">
      <w:pPr>
        <w:pStyle w:val="22"/>
      </w:pPr>
      <w:r>
        <w:rPr>
          <w:rFonts w:hint="eastAsia"/>
        </w:rPr>
        <w:t>安全分级：非安全级（NS级）；</w:t>
      </w:r>
    </w:p>
    <w:p w14:paraId="04473E6C">
      <w:pPr>
        <w:pStyle w:val="22"/>
      </w:pPr>
      <w:r>
        <w:rPr>
          <w:rFonts w:hint="eastAsia"/>
        </w:rPr>
        <w:t>抗震类别：抗震I类。</w:t>
      </w:r>
    </w:p>
    <w:p w14:paraId="3C327A78">
      <w:pPr>
        <w:pStyle w:val="43"/>
        <w:spacing w:before="312" w:after="312"/>
      </w:pPr>
      <w:bookmarkStart w:id="62" w:name="_Toc219385427"/>
      <w:r>
        <w:rPr>
          <w:rFonts w:hint="eastAsia"/>
        </w:rPr>
        <w:t>系统设计基准</w:t>
      </w:r>
      <w:bookmarkEnd w:id="62"/>
    </w:p>
    <w:p w14:paraId="77912123">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系统采用与保护系统不同的数字化平台实现，两种平台的系统架构、硬件和软件均不同，以满足多样性的要求。</w:t>
      </w:r>
    </w:p>
    <w:p w14:paraId="15B129DD">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系统应对的是由于丧失主给水</w:t>
      </w:r>
      <w:r>
        <w:rPr>
          <w:rFonts w:ascii="宋体" w:hAnsi="宋体" w:eastAsia="宋体" w:cs="宋体"/>
        </w:rPr>
        <w:t>ATWS</w:t>
      </w:r>
      <w:r>
        <w:rPr>
          <w:rFonts w:hint="eastAsia" w:ascii="宋体" w:hAnsi="宋体" w:eastAsia="宋体" w:cs="宋体"/>
        </w:rPr>
        <w:t>事故同时叠加保护系统触发失效，是概率极低的设计扩展工况，可按非安全级要求设计，不要求满足单一故障准则，不按照失效</w:t>
      </w:r>
      <w:r>
        <w:rPr>
          <w:rFonts w:ascii="宋体" w:hAnsi="宋体" w:eastAsia="宋体" w:cs="宋体"/>
        </w:rPr>
        <w:t>/</w:t>
      </w:r>
      <w:r>
        <w:rPr>
          <w:rFonts w:hint="eastAsia" w:ascii="宋体" w:hAnsi="宋体" w:eastAsia="宋体" w:cs="宋体"/>
        </w:rPr>
        <w:t>失电安全设计。</w:t>
      </w:r>
    </w:p>
    <w:p w14:paraId="489FB75C">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系统需要在地震条件下保持其功能，应按照抗震</w:t>
      </w:r>
      <w:r>
        <w:rPr>
          <w:rFonts w:ascii="宋体" w:hAnsi="宋体" w:eastAsia="宋体" w:cs="宋体"/>
        </w:rPr>
        <w:t>I</w:t>
      </w:r>
      <w:r>
        <w:rPr>
          <w:rFonts w:hint="eastAsia" w:ascii="宋体" w:hAnsi="宋体" w:eastAsia="宋体" w:cs="宋体"/>
        </w:rPr>
        <w:t>类要求设计。</w:t>
      </w:r>
    </w:p>
    <w:p w14:paraId="324A277A">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系统不应因供电问题导致与保护系统同时失效。</w:t>
      </w:r>
    </w:p>
    <w:p w14:paraId="61D9521A">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柜与反应堆保护系统机柜独立设置。</w:t>
      </w:r>
    </w:p>
    <w:p w14:paraId="692FA707">
      <w:pPr>
        <w:pStyle w:val="40"/>
        <w:tabs>
          <w:tab w:val="center" w:pos="4201"/>
          <w:tab w:val="right" w:leader="dot" w:pos="9298"/>
        </w:tabs>
        <w:spacing w:beforeLines="0" w:afterLines="0"/>
        <w:ind w:left="141" w:leftChars="67"/>
        <w:rPr>
          <w:rFonts w:ascii="宋体" w:hAnsi="宋体" w:cs="宋体"/>
        </w:rPr>
      </w:pPr>
      <w:r>
        <w:rPr>
          <w:rFonts w:hint="eastAsia" w:ascii="宋体" w:hAnsi="宋体" w:eastAsia="宋体" w:cs="宋体"/>
        </w:rPr>
        <w:t>宜提高</w:t>
      </w:r>
      <w:r>
        <w:rPr>
          <w:rFonts w:ascii="宋体" w:hAnsi="宋体" w:eastAsia="宋体" w:cs="宋体"/>
        </w:rPr>
        <w:t>CPE</w:t>
      </w:r>
      <w:r>
        <w:rPr>
          <w:rFonts w:hint="eastAsia" w:ascii="宋体" w:hAnsi="宋体" w:eastAsia="宋体" w:cs="宋体"/>
        </w:rPr>
        <w:t>系统功能的可靠性，同时宜避免</w:t>
      </w:r>
      <w:r>
        <w:rPr>
          <w:rFonts w:ascii="宋体" w:hAnsi="宋体" w:eastAsia="宋体" w:cs="宋体"/>
        </w:rPr>
        <w:t>CPE</w:t>
      </w:r>
      <w:r>
        <w:rPr>
          <w:rFonts w:hint="eastAsia" w:ascii="宋体" w:hAnsi="宋体" w:eastAsia="宋体" w:cs="宋体"/>
        </w:rPr>
        <w:t>系统误触发导致计划外停堆。</w:t>
      </w:r>
    </w:p>
    <w:p w14:paraId="6427B3D9">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系统触发后向主控制室发送综合指示信号。</w:t>
      </w:r>
    </w:p>
    <w:p w14:paraId="622B72C8">
      <w:pPr>
        <w:pStyle w:val="40"/>
        <w:tabs>
          <w:tab w:val="center" w:pos="4201"/>
          <w:tab w:val="right" w:leader="dot" w:pos="9298"/>
        </w:tabs>
        <w:spacing w:beforeLines="0" w:afterLines="0"/>
        <w:ind w:left="141" w:leftChars="67"/>
        <w:rPr>
          <w:rFonts w:ascii="宋体" w:hAnsi="宋体" w:cs="宋体"/>
        </w:rPr>
      </w:pPr>
      <w:r>
        <w:rPr>
          <w:rFonts w:ascii="宋体" w:hAnsi="宋体" w:eastAsia="宋体" w:cs="宋体"/>
        </w:rPr>
        <w:t>CPE</w:t>
      </w:r>
      <w:r>
        <w:rPr>
          <w:rFonts w:hint="eastAsia" w:ascii="宋体" w:hAnsi="宋体" w:eastAsia="宋体" w:cs="宋体"/>
        </w:rPr>
        <w:t>系统在加电启动后即投入运行，在需要时自动触发，无需操纵员手动投入或干预。除周期性校验外，</w:t>
      </w:r>
      <w:r>
        <w:rPr>
          <w:rFonts w:ascii="宋体" w:hAnsi="宋体" w:eastAsia="宋体" w:cs="宋体"/>
        </w:rPr>
        <w:t>CPE</w:t>
      </w:r>
      <w:r>
        <w:rPr>
          <w:rFonts w:hint="eastAsia" w:ascii="宋体" w:hAnsi="宋体" w:eastAsia="宋体" w:cs="宋体"/>
        </w:rPr>
        <w:t>系统不应被旁通或闭锁。</w:t>
      </w:r>
    </w:p>
    <w:p w14:paraId="37DF5286">
      <w:pPr>
        <w:pStyle w:val="40"/>
        <w:tabs>
          <w:tab w:val="center" w:pos="4201"/>
          <w:tab w:val="right" w:leader="dot" w:pos="9298"/>
        </w:tabs>
        <w:spacing w:beforeLines="0" w:afterLines="0"/>
        <w:ind w:left="141" w:leftChars="67"/>
        <w:rPr>
          <w:rFonts w:ascii="宋体" w:hAnsi="宋体" w:cs="宋体"/>
        </w:rPr>
      </w:pPr>
      <w:r>
        <w:rPr>
          <w:rFonts w:hint="eastAsia" w:ascii="宋体" w:hAnsi="宋体" w:eastAsia="宋体" w:cs="宋体"/>
        </w:rPr>
        <w:t>提供对</w:t>
      </w:r>
      <w:r>
        <w:rPr>
          <w:rFonts w:ascii="宋体" w:hAnsi="宋体" w:eastAsia="宋体" w:cs="宋体"/>
        </w:rPr>
        <w:t>CPE</w:t>
      </w:r>
      <w:r>
        <w:rPr>
          <w:rFonts w:hint="eastAsia" w:ascii="宋体" w:hAnsi="宋体" w:eastAsia="宋体" w:cs="宋体"/>
        </w:rPr>
        <w:t>系统进行周期性校验的手段。对</w:t>
      </w:r>
      <w:r>
        <w:rPr>
          <w:rFonts w:ascii="宋体" w:hAnsi="宋体" w:eastAsia="宋体" w:cs="宋体"/>
        </w:rPr>
        <w:t>CPE</w:t>
      </w:r>
      <w:r>
        <w:rPr>
          <w:rFonts w:hint="eastAsia" w:ascii="宋体" w:hAnsi="宋体" w:eastAsia="宋体" w:cs="宋体"/>
        </w:rPr>
        <w:t>系统的周期性校验安排在堆模块</w:t>
      </w:r>
      <w:r>
        <w:rPr>
          <w:rFonts w:ascii="宋体" w:hAnsi="宋体" w:eastAsia="宋体" w:cs="宋体"/>
        </w:rPr>
        <w:t>/</w:t>
      </w:r>
      <w:r>
        <w:rPr>
          <w:rFonts w:hint="eastAsia" w:ascii="宋体" w:hAnsi="宋体" w:eastAsia="宋体" w:cs="宋体"/>
        </w:rPr>
        <w:t>堆模组停堆检修期间进行。</w:t>
      </w:r>
    </w:p>
    <w:p w14:paraId="0D6DBFCA">
      <w:pPr>
        <w:pStyle w:val="43"/>
        <w:spacing w:before="312" w:after="312"/>
      </w:pPr>
      <w:bookmarkStart w:id="63" w:name="_Toc219385428"/>
      <w:r>
        <w:rPr>
          <w:rFonts w:hint="eastAsia"/>
        </w:rPr>
        <w:t>核心技术要求</w:t>
      </w:r>
      <w:bookmarkEnd w:id="63"/>
    </w:p>
    <w:bookmarkEnd w:id="52"/>
    <w:bookmarkEnd w:id="53"/>
    <w:bookmarkEnd w:id="54"/>
    <w:bookmarkEnd w:id="55"/>
    <w:bookmarkEnd w:id="56"/>
    <w:bookmarkEnd w:id="57"/>
    <w:bookmarkEnd w:id="58"/>
    <w:bookmarkEnd w:id="59"/>
    <w:bookmarkEnd w:id="60"/>
    <w:bookmarkEnd w:id="61"/>
    <w:p w14:paraId="46636B72">
      <w:pPr>
        <w:pStyle w:val="40"/>
        <w:spacing w:beforeLines="0" w:afterLines="0"/>
        <w:rPr>
          <w:rFonts w:ascii="Times New Roman"/>
        </w:rPr>
      </w:pPr>
      <w:r>
        <w:rPr>
          <w:rFonts w:hint="eastAsia" w:ascii="Times New Roman"/>
        </w:rPr>
        <w:t>系统组成</w:t>
      </w:r>
    </w:p>
    <w:p w14:paraId="6F1DBDB1">
      <w:pPr>
        <w:pStyle w:val="22"/>
      </w:pPr>
      <w:r>
        <w:rPr>
          <w:rFonts w:hint="eastAsia" w:ascii="Times New Roman"/>
          <w:szCs w:val="21"/>
        </w:rPr>
        <w:t>每个堆模块/堆模组设置一套CPE装置，</w:t>
      </w:r>
      <w:r>
        <w:rPr>
          <w:rFonts w:hint="eastAsia"/>
        </w:rPr>
        <w:t>每套</w:t>
      </w:r>
      <w:r>
        <w:rPr>
          <w:rFonts w:ascii="Times New Roman"/>
        </w:rPr>
        <w:t>CPE</w:t>
      </w:r>
      <w:r>
        <w:rPr>
          <w:rFonts w:hint="eastAsia"/>
        </w:rPr>
        <w:t xml:space="preserve">装置由以下几部分组成， </w:t>
      </w:r>
    </w:p>
    <w:p w14:paraId="630321DD">
      <w:pPr>
        <w:pStyle w:val="22"/>
        <w:ind w:left="141" w:leftChars="67"/>
        <w:rPr>
          <w:rFonts w:ascii="Times New Roman"/>
          <w:szCs w:val="21"/>
        </w:rPr>
      </w:pPr>
      <w:r>
        <w:rPr>
          <w:rFonts w:hint="eastAsia" w:ascii="Times New Roman"/>
          <w:szCs w:val="21"/>
        </w:rPr>
        <w:t>a)</w:t>
      </w:r>
      <w:r>
        <w:rPr>
          <w:rFonts w:hint="eastAsia" w:ascii="Times New Roman"/>
          <w:szCs w:val="21"/>
        </w:rPr>
        <w:tab/>
      </w:r>
      <w:r>
        <w:rPr>
          <w:rFonts w:hint="eastAsia" w:ascii="Times New Roman"/>
          <w:szCs w:val="21"/>
        </w:rPr>
        <w:t xml:space="preserve"> 信号分配组件：实现对输入的监测信号的隔离，并分配至2个逻辑符合组件；</w:t>
      </w:r>
    </w:p>
    <w:p w14:paraId="0A371127">
      <w:pPr>
        <w:pStyle w:val="22"/>
        <w:ind w:left="141" w:leftChars="67"/>
        <w:rPr>
          <w:rFonts w:ascii="Times New Roman"/>
          <w:szCs w:val="21"/>
        </w:rPr>
      </w:pPr>
      <w:r>
        <w:rPr>
          <w:rFonts w:hint="eastAsia" w:ascii="Times New Roman"/>
          <w:szCs w:val="21"/>
        </w:rPr>
        <w:t>b)</w:t>
      </w:r>
      <w:r>
        <w:rPr>
          <w:rFonts w:hint="eastAsia" w:ascii="Times New Roman"/>
          <w:szCs w:val="21"/>
        </w:rPr>
        <w:tab/>
      </w:r>
      <w:r>
        <w:rPr>
          <w:rFonts w:hint="eastAsia" w:ascii="Times New Roman"/>
          <w:szCs w:val="21"/>
        </w:rPr>
        <w:t xml:space="preserve"> 逻辑符合组件：每个逻辑符合组件对监测信号进行“四取二”（“2/4”）逻辑符合，2个逻辑符合结果再进行“二取二”（“2/2”）的二次符合，产生独立的2个CPE触发信号；</w:t>
      </w:r>
    </w:p>
    <w:p w14:paraId="7D99ADED">
      <w:pPr>
        <w:pStyle w:val="22"/>
        <w:ind w:left="141" w:leftChars="67"/>
        <w:rPr>
          <w:rFonts w:ascii="Times New Roman"/>
          <w:szCs w:val="21"/>
        </w:rPr>
      </w:pPr>
      <w:r>
        <w:rPr>
          <w:rFonts w:hint="eastAsia" w:ascii="Times New Roman"/>
          <w:szCs w:val="21"/>
        </w:rPr>
        <w:t>c)</w:t>
      </w:r>
      <w:r>
        <w:rPr>
          <w:rFonts w:hint="eastAsia" w:ascii="Times New Roman"/>
          <w:szCs w:val="21"/>
        </w:rPr>
        <w:tab/>
      </w:r>
      <w:r>
        <w:rPr>
          <w:rFonts w:hint="eastAsia" w:ascii="Times New Roman"/>
          <w:szCs w:val="21"/>
        </w:rPr>
        <w:t xml:space="preserve"> 驱动组件：将CPE触发信号扩展为多个驱动信号，分别驱动多个执行机构；</w:t>
      </w:r>
    </w:p>
    <w:p w14:paraId="0BB2561C">
      <w:pPr>
        <w:pStyle w:val="22"/>
        <w:ind w:left="141" w:leftChars="67"/>
        <w:rPr>
          <w:rFonts w:ascii="Times New Roman"/>
          <w:szCs w:val="21"/>
        </w:rPr>
      </w:pPr>
      <w:r>
        <w:rPr>
          <w:rFonts w:hint="eastAsia" w:ascii="Times New Roman"/>
          <w:szCs w:val="21"/>
        </w:rPr>
        <w:t>d) 电源组件：对信号分配组件、逻辑符合组件和驱动组件提供冗余供电。</w:t>
      </w:r>
    </w:p>
    <w:p w14:paraId="539E3122">
      <w:pPr>
        <w:pStyle w:val="40"/>
        <w:spacing w:beforeLines="0" w:afterLines="0"/>
        <w:rPr>
          <w:rFonts w:ascii="Times New Roman"/>
        </w:rPr>
      </w:pPr>
      <w:r>
        <w:rPr>
          <w:rFonts w:hint="eastAsia" w:ascii="Times New Roman"/>
        </w:rPr>
        <w:t>控制方式</w:t>
      </w:r>
    </w:p>
    <w:p w14:paraId="76CFD1B2">
      <w:pPr>
        <w:pStyle w:val="22"/>
        <w:ind w:left="141" w:leftChars="67"/>
        <w:rPr>
          <w:rFonts w:ascii="Times New Roman"/>
          <w:szCs w:val="21"/>
        </w:rPr>
      </w:pPr>
      <w:r>
        <w:rPr>
          <w:rFonts w:hint="eastAsia" w:ascii="Times New Roman"/>
          <w:szCs w:val="21"/>
        </w:rPr>
        <w:t>CPE系统加电启动后即投入运行，在需要时自动触发，无需操纵员手动投入或干预。除周期性校验外，CPE系统不应被旁通或闭锁。</w:t>
      </w:r>
    </w:p>
    <w:p w14:paraId="1DAC8C88">
      <w:pPr>
        <w:pStyle w:val="22"/>
        <w:ind w:left="141" w:leftChars="67"/>
        <w:rPr>
          <w:rFonts w:ascii="Times New Roman"/>
          <w:szCs w:val="21"/>
        </w:rPr>
      </w:pPr>
      <w:r>
        <w:rPr>
          <w:rFonts w:hint="eastAsia" w:ascii="Times New Roman"/>
          <w:szCs w:val="21"/>
        </w:rPr>
        <w:t>CPE系统需要将监测变量和状态信息发送显示在主控制室的监控画面上。</w:t>
      </w:r>
    </w:p>
    <w:p w14:paraId="7F980269">
      <w:pPr>
        <w:pStyle w:val="40"/>
        <w:spacing w:beforeLines="0" w:afterLines="0"/>
        <w:rPr>
          <w:rFonts w:ascii="Times New Roman"/>
        </w:rPr>
      </w:pPr>
      <w:r>
        <w:rPr>
          <w:rFonts w:hint="eastAsia" w:ascii="Times New Roman"/>
        </w:rPr>
        <w:t>系统输入处理和输出</w:t>
      </w:r>
    </w:p>
    <w:p w14:paraId="05A18184">
      <w:pPr>
        <w:pStyle w:val="22"/>
        <w:ind w:firstLine="0" w:firstLineChars="0"/>
        <w:rPr>
          <w:rFonts w:ascii="黑体" w:hAnsi="黑体" w:eastAsia="黑体" w:cs="黑体"/>
        </w:rPr>
      </w:pPr>
      <w:r>
        <w:rPr>
          <w:rFonts w:ascii="黑体" w:hAnsi="黑体" w:eastAsia="黑体" w:cs="黑体"/>
        </w:rPr>
        <w:t>6.3</w:t>
      </w:r>
      <w:r>
        <w:rPr>
          <w:rFonts w:hint="eastAsia" w:ascii="黑体" w:hAnsi="黑体" w:eastAsia="黑体" w:cs="黑体"/>
        </w:rPr>
        <w:t>.1</w:t>
      </w:r>
      <w:r>
        <w:rPr>
          <w:rFonts w:hint="eastAsia" w:ascii="黑体" w:hAnsi="黑体" w:eastAsia="黑体" w:cs="黑体"/>
          <w:lang w:val="en-US" w:eastAsia="zh-CN"/>
        </w:rPr>
        <w:t xml:space="preserve"> </w:t>
      </w:r>
      <w:bookmarkStart w:id="68" w:name="_GoBack"/>
      <w:bookmarkEnd w:id="68"/>
      <w:r>
        <w:rPr>
          <w:rFonts w:hint="eastAsia" w:ascii="黑体" w:hAnsi="黑体" w:eastAsia="黑体" w:cs="黑体"/>
        </w:rPr>
        <w:t>系统输入</w:t>
      </w:r>
    </w:p>
    <w:p w14:paraId="1FF252BD">
      <w:pPr>
        <w:pStyle w:val="22"/>
        <w:ind w:left="141" w:leftChars="67"/>
        <w:rPr>
          <w:rFonts w:ascii="Times New Roman"/>
          <w:szCs w:val="21"/>
        </w:rPr>
      </w:pPr>
      <w:r>
        <w:rPr>
          <w:rFonts w:hint="eastAsia" w:ascii="Times New Roman"/>
          <w:szCs w:val="21"/>
        </w:rPr>
        <w:t>每套CPE装置的输入信号为所监控的堆模块的一回路氦气冷端温度信号，每个堆模块4路。</w:t>
      </w:r>
    </w:p>
    <w:p w14:paraId="2E5CCF77">
      <w:pPr>
        <w:pStyle w:val="22"/>
        <w:ind w:firstLine="0" w:firstLineChars="0"/>
        <w:rPr>
          <w:rFonts w:ascii="黑体" w:hAnsi="黑体" w:eastAsia="黑体" w:cs="黑体"/>
        </w:rPr>
      </w:pPr>
      <w:r>
        <w:rPr>
          <w:rFonts w:ascii="黑体" w:hAnsi="黑体" w:eastAsia="黑体" w:cs="黑体"/>
        </w:rPr>
        <w:t>6.3</w:t>
      </w:r>
      <w:r>
        <w:rPr>
          <w:rFonts w:hint="eastAsia" w:ascii="黑体" w:hAnsi="黑体" w:eastAsia="黑体" w:cs="黑体"/>
        </w:rPr>
        <w:t>.2</w:t>
      </w:r>
      <w:r>
        <w:rPr>
          <w:rFonts w:hint="eastAsia" w:ascii="黑体" w:hAnsi="黑体" w:eastAsia="黑体" w:cs="黑体"/>
          <w:lang w:val="en-US" w:eastAsia="zh-CN"/>
        </w:rPr>
        <w:t xml:space="preserve"> </w:t>
      </w:r>
      <w:r>
        <w:rPr>
          <w:rFonts w:hint="eastAsia" w:ascii="黑体" w:hAnsi="黑体" w:eastAsia="黑体" w:cs="黑体"/>
        </w:rPr>
        <w:t>系统处理</w:t>
      </w:r>
    </w:p>
    <w:p w14:paraId="398FC18D">
      <w:pPr>
        <w:pStyle w:val="22"/>
        <w:rPr>
          <w:rFonts w:ascii="Times New Roman"/>
          <w:szCs w:val="21"/>
        </w:rPr>
      </w:pPr>
      <w:r>
        <w:rPr>
          <w:rFonts w:hint="eastAsia" w:ascii="Times New Roman"/>
          <w:szCs w:val="21"/>
        </w:rPr>
        <w:t>每套CPE装置分别对每个堆模块的4路一回路氦气冷端温度输入信号超高限进行“四取二”（“2/4”）逻辑符合和“二取二”（“2/2”）的二次符合，产生CPE触发信号。每套CPE装置产生两个独立的CPE触发信号，这两个CPE触发信号在功能上成“或”的关系。</w:t>
      </w:r>
    </w:p>
    <w:p w14:paraId="5B011656">
      <w:pPr>
        <w:pStyle w:val="22"/>
        <w:ind w:firstLine="0" w:firstLineChars="0"/>
        <w:rPr>
          <w:rFonts w:ascii="黑体" w:hAnsi="黑体" w:eastAsia="黑体" w:cs="黑体"/>
        </w:rPr>
      </w:pPr>
      <w:r>
        <w:rPr>
          <w:rFonts w:ascii="黑体" w:hAnsi="黑体" w:eastAsia="黑体" w:cs="黑体"/>
        </w:rPr>
        <w:t>6.3</w:t>
      </w:r>
      <w:r>
        <w:rPr>
          <w:rFonts w:hint="eastAsia" w:ascii="黑体" w:hAnsi="黑体" w:eastAsia="黑体" w:cs="黑体"/>
        </w:rPr>
        <w:t>.3</w:t>
      </w:r>
      <w:r>
        <w:rPr>
          <w:rFonts w:hint="eastAsia" w:ascii="黑体" w:hAnsi="黑体" w:eastAsia="黑体" w:cs="黑体"/>
          <w:lang w:val="en-US" w:eastAsia="zh-CN"/>
        </w:rPr>
        <w:t xml:space="preserve"> </w:t>
      </w:r>
      <w:r>
        <w:rPr>
          <w:rFonts w:hint="eastAsia" w:ascii="黑体" w:hAnsi="黑体" w:eastAsia="黑体" w:cs="黑体"/>
        </w:rPr>
        <w:t>系统输出</w:t>
      </w:r>
    </w:p>
    <w:p w14:paraId="7410BDF3">
      <w:pPr>
        <w:pStyle w:val="22"/>
        <w:rPr>
          <w:rFonts w:ascii="Times New Roman"/>
          <w:szCs w:val="21"/>
        </w:rPr>
      </w:pPr>
      <w:r>
        <w:rPr>
          <w:rFonts w:hint="eastAsia" w:ascii="Times New Roman"/>
          <w:szCs w:val="21"/>
        </w:rPr>
        <w:t>两个独立的CPE触发信号各控制1个驱动组件，每个驱动组件分别驱动一组执行机构，每组执行机构可独立执行停氦风机和关氦风机挡板的功能。每个驱动组件为多路触点信号输出，分别驱动主氦风机断路器、主氦风机变频器、主氦风机挡板等设备，输出触点容量须满足执行机构控制回路的负载要求。CPE将监测变量和触发状态发送至主控制室显示。</w:t>
      </w:r>
    </w:p>
    <w:p w14:paraId="4153FF40">
      <w:pPr>
        <w:pStyle w:val="40"/>
        <w:spacing w:beforeLines="0" w:afterLines="0"/>
        <w:rPr>
          <w:rFonts w:ascii="Times New Roman"/>
        </w:rPr>
      </w:pPr>
      <w:r>
        <w:rPr>
          <w:rFonts w:hint="eastAsia" w:ascii="Times New Roman"/>
        </w:rPr>
        <w:t>主要技术特性</w:t>
      </w:r>
    </w:p>
    <w:p w14:paraId="4E740A59">
      <w:pPr>
        <w:pStyle w:val="22"/>
        <w:ind w:firstLine="0" w:firstLineChars="0"/>
        <w:rPr>
          <w:rFonts w:ascii="黑体" w:hAnsi="黑体" w:eastAsia="黑体" w:cs="黑体"/>
        </w:rPr>
      </w:pPr>
      <w:r>
        <w:rPr>
          <w:rFonts w:ascii="黑体" w:hAnsi="黑体" w:eastAsia="黑体" w:cs="黑体"/>
        </w:rPr>
        <w:t>6.4.1</w:t>
      </w:r>
      <w:bookmarkStart w:id="64" w:name="_Toc81213618"/>
      <w:bookmarkStart w:id="65" w:name="_Toc218955449"/>
      <w:r>
        <w:rPr>
          <w:rFonts w:hint="eastAsia" w:ascii="黑体" w:hAnsi="黑体" w:eastAsia="黑体" w:cs="黑体"/>
          <w:lang w:val="en-US" w:eastAsia="zh-CN"/>
        </w:rPr>
        <w:t xml:space="preserve"> </w:t>
      </w:r>
      <w:r>
        <w:rPr>
          <w:rFonts w:hint="eastAsia" w:ascii="黑体" w:hAnsi="黑体" w:eastAsia="黑体" w:cs="黑体"/>
        </w:rPr>
        <w:t>系统性能指标</w:t>
      </w:r>
      <w:bookmarkEnd w:id="64"/>
      <w:bookmarkEnd w:id="65"/>
    </w:p>
    <w:p w14:paraId="54BDD8D7">
      <w:pPr>
        <w:pStyle w:val="22"/>
        <w:rPr>
          <w:rFonts w:ascii="Times New Roman"/>
          <w:szCs w:val="21"/>
        </w:rPr>
      </w:pPr>
      <w:r>
        <w:rPr>
          <w:rFonts w:hint="eastAsia" w:ascii="Times New Roman"/>
          <w:szCs w:val="21"/>
        </w:rPr>
        <w:t>系统的性能指标如下：</w:t>
      </w:r>
    </w:p>
    <w:p w14:paraId="12348826">
      <w:pPr>
        <w:pStyle w:val="22"/>
        <w:ind w:left="141" w:leftChars="67"/>
        <w:rPr>
          <w:rFonts w:ascii="Times New Roman"/>
          <w:szCs w:val="21"/>
        </w:rPr>
      </w:pPr>
      <w:r>
        <w:rPr>
          <w:rFonts w:hint="eastAsia" w:ascii="Times New Roman"/>
          <w:szCs w:val="21"/>
        </w:rPr>
        <w:t>a) 输入信号的测量精度（不含变送器）应小于0.1 % F.S. (25℃)；</w:t>
      </w:r>
    </w:p>
    <w:p w14:paraId="0457DDB2">
      <w:pPr>
        <w:pStyle w:val="22"/>
        <w:ind w:left="141" w:leftChars="67"/>
        <w:rPr>
          <w:rFonts w:ascii="Times New Roman"/>
          <w:szCs w:val="21"/>
        </w:rPr>
      </w:pPr>
      <w:r>
        <w:rPr>
          <w:rFonts w:hint="eastAsia" w:ascii="Times New Roman"/>
          <w:szCs w:val="21"/>
        </w:rPr>
        <w:t>b) 输入信号的测量精度（含变送器）应小于 0.5 % F.S. (25℃)；</w:t>
      </w:r>
    </w:p>
    <w:p w14:paraId="39E09882">
      <w:pPr>
        <w:pStyle w:val="22"/>
        <w:ind w:left="141" w:leftChars="67"/>
        <w:rPr>
          <w:rFonts w:ascii="Times New Roman"/>
          <w:szCs w:val="21"/>
        </w:rPr>
      </w:pPr>
      <w:r>
        <w:rPr>
          <w:rFonts w:hint="eastAsia" w:ascii="Times New Roman"/>
          <w:szCs w:val="21"/>
        </w:rPr>
        <w:t>c) 响应时间（不含变送器、不包含滤波）宜小于300ms；</w:t>
      </w:r>
    </w:p>
    <w:p w14:paraId="78477875">
      <w:pPr>
        <w:pStyle w:val="22"/>
        <w:ind w:left="141" w:leftChars="67"/>
        <w:rPr>
          <w:rFonts w:ascii="Times New Roman"/>
          <w:szCs w:val="21"/>
        </w:rPr>
      </w:pPr>
      <w:r>
        <w:rPr>
          <w:rFonts w:hint="eastAsia" w:ascii="Times New Roman"/>
          <w:szCs w:val="21"/>
        </w:rPr>
        <w:t>d) 响应时间（含变送器、不包含滤波）宜小于800ms；</w:t>
      </w:r>
    </w:p>
    <w:p w14:paraId="68E51A69">
      <w:pPr>
        <w:pStyle w:val="22"/>
        <w:ind w:left="141" w:leftChars="67"/>
        <w:rPr>
          <w:rFonts w:ascii="Times New Roman"/>
          <w:szCs w:val="21"/>
        </w:rPr>
      </w:pPr>
      <w:r>
        <w:rPr>
          <w:rFonts w:hint="eastAsia" w:ascii="Times New Roman"/>
          <w:szCs w:val="21"/>
        </w:rPr>
        <w:t>e) 系统可用性应大于99.99%；</w:t>
      </w:r>
    </w:p>
    <w:p w14:paraId="38331C5D">
      <w:pPr>
        <w:pStyle w:val="22"/>
        <w:ind w:left="141" w:leftChars="67"/>
        <w:rPr>
          <w:rFonts w:ascii="Times New Roman"/>
          <w:szCs w:val="21"/>
        </w:rPr>
      </w:pPr>
      <w:r>
        <w:rPr>
          <w:rFonts w:hint="eastAsia" w:ascii="Times New Roman"/>
          <w:szCs w:val="21"/>
        </w:rPr>
        <w:t>f) 系统误动率应不大于每60年1次；</w:t>
      </w:r>
    </w:p>
    <w:p w14:paraId="1BD3FD0B">
      <w:pPr>
        <w:pStyle w:val="22"/>
        <w:ind w:left="141" w:leftChars="67"/>
        <w:rPr>
          <w:rFonts w:ascii="Times New Roman"/>
          <w:szCs w:val="21"/>
        </w:rPr>
      </w:pPr>
      <w:r>
        <w:rPr>
          <w:rFonts w:hint="eastAsia" w:ascii="Times New Roman"/>
          <w:szCs w:val="21"/>
        </w:rPr>
        <w:t>g) 系统拒动概率应不大于10e-2。</w:t>
      </w:r>
    </w:p>
    <w:p w14:paraId="2E9F5FFF">
      <w:pPr>
        <w:pStyle w:val="22"/>
        <w:ind w:firstLine="0" w:firstLineChars="0"/>
        <w:rPr>
          <w:rFonts w:ascii="黑体" w:hAnsi="黑体" w:eastAsia="黑体" w:cs="黑体"/>
        </w:rPr>
      </w:pPr>
      <w:r>
        <w:rPr>
          <w:rFonts w:ascii="黑体" w:hAnsi="黑体" w:eastAsia="黑体" w:cs="黑体"/>
        </w:rPr>
        <w:t>6.4.2</w:t>
      </w:r>
      <w:r>
        <w:rPr>
          <w:rFonts w:hint="eastAsia" w:ascii="黑体" w:hAnsi="黑体" w:eastAsia="黑体" w:cs="黑体"/>
          <w:lang w:val="en-US" w:eastAsia="zh-CN"/>
        </w:rPr>
        <w:t xml:space="preserve"> </w:t>
      </w:r>
      <w:r>
        <w:rPr>
          <w:rFonts w:hint="eastAsia" w:ascii="黑体" w:hAnsi="黑体" w:eastAsia="黑体" w:cs="黑体"/>
        </w:rPr>
        <w:t>环境适应性</w:t>
      </w:r>
    </w:p>
    <w:p w14:paraId="39621FA4">
      <w:pPr>
        <w:pStyle w:val="22"/>
        <w:rPr>
          <w:rFonts w:ascii="Times New Roman"/>
          <w:szCs w:val="21"/>
        </w:rPr>
      </w:pPr>
      <w:r>
        <w:rPr>
          <w:rFonts w:hint="eastAsia" w:ascii="Times New Roman"/>
          <w:szCs w:val="21"/>
        </w:rPr>
        <w:t>环境条件适应能力符合 IEC／EN 61131-2：</w:t>
      </w:r>
    </w:p>
    <w:p w14:paraId="33327AAD">
      <w:pPr>
        <w:pStyle w:val="22"/>
        <w:ind w:left="141" w:leftChars="67"/>
        <w:rPr>
          <w:rFonts w:ascii="Times New Roman"/>
          <w:szCs w:val="21"/>
        </w:rPr>
      </w:pPr>
      <w:r>
        <w:rPr>
          <w:rFonts w:hint="eastAsia" w:ascii="Times New Roman"/>
          <w:szCs w:val="21"/>
        </w:rPr>
        <w:t>a) 运输及存放温度：</w:t>
      </w:r>
      <w:r>
        <w:rPr>
          <w:rFonts w:ascii="Times New Roman"/>
          <w:szCs w:val="21"/>
        </w:rPr>
        <w:t>-25</w:t>
      </w:r>
      <w:r>
        <w:rPr>
          <w:rFonts w:hint="eastAsia" w:ascii="Times New Roman"/>
          <w:szCs w:val="21"/>
        </w:rPr>
        <w:t>℃～</w:t>
      </w:r>
      <w:r>
        <w:rPr>
          <w:rFonts w:ascii="Times New Roman"/>
          <w:szCs w:val="21"/>
        </w:rPr>
        <w:t>60</w:t>
      </w:r>
      <w:r>
        <w:rPr>
          <w:rFonts w:hint="eastAsia" w:ascii="Times New Roman"/>
          <w:szCs w:val="21"/>
        </w:rPr>
        <w:t>℃；</w:t>
      </w:r>
    </w:p>
    <w:p w14:paraId="32990BCD">
      <w:pPr>
        <w:pStyle w:val="22"/>
        <w:ind w:left="141" w:leftChars="67"/>
        <w:rPr>
          <w:rFonts w:ascii="Times New Roman"/>
          <w:szCs w:val="21"/>
        </w:rPr>
      </w:pPr>
      <w:r>
        <w:rPr>
          <w:rFonts w:hint="eastAsia" w:ascii="Times New Roman"/>
          <w:szCs w:val="21"/>
        </w:rPr>
        <w:t>b) 工作环境温度：不窄于</w:t>
      </w:r>
      <w:r>
        <w:rPr>
          <w:rFonts w:ascii="Times New Roman"/>
          <w:szCs w:val="21"/>
        </w:rPr>
        <w:t>5</w:t>
      </w:r>
      <w:r>
        <w:rPr>
          <w:rFonts w:hint="eastAsia" w:ascii="Times New Roman"/>
          <w:szCs w:val="21"/>
        </w:rPr>
        <w:t>℃～</w:t>
      </w:r>
      <w:r>
        <w:rPr>
          <w:rFonts w:ascii="Times New Roman"/>
          <w:szCs w:val="21"/>
        </w:rPr>
        <w:t>50</w:t>
      </w:r>
      <w:r>
        <w:rPr>
          <w:rFonts w:hint="eastAsia" w:ascii="Times New Roman"/>
          <w:szCs w:val="21"/>
        </w:rPr>
        <w:t>℃；</w:t>
      </w:r>
    </w:p>
    <w:p w14:paraId="34667FDB">
      <w:pPr>
        <w:pStyle w:val="22"/>
        <w:ind w:left="141" w:leftChars="67"/>
        <w:rPr>
          <w:rFonts w:ascii="Times New Roman"/>
          <w:szCs w:val="21"/>
        </w:rPr>
      </w:pPr>
      <w:r>
        <w:rPr>
          <w:rFonts w:hint="eastAsia" w:ascii="Times New Roman"/>
          <w:szCs w:val="21"/>
        </w:rPr>
        <w:t>c) 允许相对湿度：</w:t>
      </w:r>
      <w:r>
        <w:rPr>
          <w:rFonts w:ascii="Times New Roman"/>
          <w:szCs w:val="21"/>
        </w:rPr>
        <w:t>5%</w:t>
      </w:r>
      <w:r>
        <w:rPr>
          <w:rFonts w:hint="eastAsia" w:ascii="Times New Roman"/>
          <w:szCs w:val="21"/>
        </w:rPr>
        <w:t>～</w:t>
      </w:r>
      <w:r>
        <w:rPr>
          <w:rFonts w:ascii="Times New Roman"/>
          <w:szCs w:val="21"/>
        </w:rPr>
        <w:t>95%</w:t>
      </w:r>
      <w:r>
        <w:rPr>
          <w:rFonts w:hint="eastAsia" w:ascii="Times New Roman"/>
          <w:szCs w:val="21"/>
        </w:rPr>
        <w:t>，无凝结现象。</w:t>
      </w:r>
    </w:p>
    <w:p w14:paraId="5B43B9DE">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.3</w:t>
      </w:r>
      <w:r>
        <w:rPr>
          <w:rFonts w:hint="eastAsia" w:ascii="黑体" w:hAnsi="黑体" w:eastAsia="黑体" w:cs="黑体"/>
          <w:lang w:val="en-US" w:eastAsia="zh-CN"/>
        </w:rPr>
        <w:t xml:space="preserve"> </w:t>
      </w:r>
      <w:r>
        <w:rPr>
          <w:rFonts w:hint="eastAsia" w:ascii="黑体" w:hAnsi="黑体" w:eastAsia="黑体" w:cs="黑体"/>
        </w:rPr>
        <w:t>电磁兼容性</w:t>
      </w:r>
    </w:p>
    <w:p w14:paraId="503E5429">
      <w:pPr>
        <w:ind w:firstLine="560"/>
      </w:pPr>
      <w:r>
        <w:rPr>
          <w:rFonts w:hint="eastAsia"/>
        </w:rPr>
        <w:t>抗电磁干扰能力符合 IEC／EN 61000-6-2；</w:t>
      </w:r>
    </w:p>
    <w:p w14:paraId="022F92EC">
      <w:pPr>
        <w:ind w:firstLine="560"/>
      </w:pPr>
      <w:r>
        <w:rPr>
          <w:rFonts w:hint="eastAsia"/>
        </w:rPr>
        <w:t>电磁干扰发射符合 IEC／EN 61000-6-4。</w:t>
      </w:r>
    </w:p>
    <w:p w14:paraId="76241C08">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.4</w:t>
      </w:r>
      <w:r>
        <w:rPr>
          <w:rFonts w:hint="eastAsia" w:ascii="黑体" w:hAnsi="黑体" w:eastAsia="黑体" w:cs="黑体"/>
          <w:lang w:val="en-US" w:eastAsia="zh-CN"/>
        </w:rPr>
        <w:t xml:space="preserve"> </w:t>
      </w:r>
      <w:r>
        <w:rPr>
          <w:rFonts w:hint="eastAsia" w:ascii="黑体" w:hAnsi="黑体" w:eastAsia="黑体" w:cs="黑体"/>
        </w:rPr>
        <w:t>抗震</w:t>
      </w:r>
    </w:p>
    <w:p w14:paraId="625456DE">
      <w:pPr>
        <w:ind w:firstLine="560"/>
      </w:pPr>
      <w:r>
        <w:rPr>
          <w:rFonts w:hint="eastAsia"/>
        </w:rPr>
        <w:t>按抗震I类要求。</w:t>
      </w:r>
    </w:p>
    <w:p w14:paraId="58956C12">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.5</w:t>
      </w:r>
      <w:r>
        <w:rPr>
          <w:rFonts w:hint="eastAsia" w:ascii="黑体" w:hAnsi="黑体" w:eastAsia="黑体" w:cs="黑体"/>
          <w:lang w:val="en-US" w:eastAsia="zh-CN"/>
        </w:rPr>
        <w:t xml:space="preserve"> </w:t>
      </w:r>
      <w:r>
        <w:rPr>
          <w:rFonts w:hint="eastAsia" w:ascii="黑体" w:hAnsi="黑体" w:eastAsia="黑体" w:cs="黑体"/>
        </w:rPr>
        <w:t>材料选择</w:t>
      </w:r>
    </w:p>
    <w:p w14:paraId="775FDE2E">
      <w:pPr>
        <w:pStyle w:val="22"/>
        <w:ind w:left="141" w:leftChars="67"/>
        <w:rPr>
          <w:rFonts w:ascii="Times New Roman"/>
          <w:szCs w:val="21"/>
        </w:rPr>
      </w:pPr>
      <w:r>
        <w:rPr>
          <w:rFonts w:hint="eastAsia" w:ascii="Times New Roman"/>
          <w:szCs w:val="21"/>
        </w:rPr>
        <w:t>a) 机柜和机箱应采用优质镀锌钢板，经防腐处理。</w:t>
      </w:r>
    </w:p>
    <w:p w14:paraId="33DB7D47">
      <w:pPr>
        <w:pStyle w:val="22"/>
        <w:ind w:left="141" w:leftChars="67"/>
        <w:rPr>
          <w:rFonts w:ascii="Times New Roman"/>
          <w:szCs w:val="21"/>
        </w:rPr>
      </w:pPr>
      <w:r>
        <w:rPr>
          <w:rFonts w:hint="eastAsia" w:ascii="Times New Roman"/>
          <w:szCs w:val="21"/>
        </w:rPr>
        <w:t>b) 机柜内接线应采用低烟、无卤、阻燃电缆。</w:t>
      </w:r>
    </w:p>
    <w:p w14:paraId="0661DC4C">
      <w:pPr>
        <w:pStyle w:val="22"/>
        <w:ind w:left="141" w:leftChars="67"/>
        <w:rPr>
          <w:rFonts w:ascii="Times New Roman"/>
          <w:szCs w:val="21"/>
        </w:rPr>
      </w:pPr>
      <w:r>
        <w:rPr>
          <w:rFonts w:hint="eastAsia" w:ascii="Times New Roman"/>
          <w:szCs w:val="21"/>
        </w:rPr>
        <w:t>c) 机柜内材料应采用低烟、无卤、阻燃材料。</w:t>
      </w:r>
    </w:p>
    <w:p w14:paraId="734CF85E">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.6</w:t>
      </w:r>
      <w:r>
        <w:rPr>
          <w:rFonts w:hint="eastAsia" w:ascii="黑体" w:hAnsi="黑体" w:eastAsia="黑体" w:cs="黑体"/>
          <w:lang w:val="en-US" w:eastAsia="zh-CN"/>
        </w:rPr>
        <w:t xml:space="preserve"> </w:t>
      </w:r>
      <w:r>
        <w:rPr>
          <w:rFonts w:hint="eastAsia" w:ascii="黑体" w:hAnsi="黑体" w:eastAsia="黑体" w:cs="黑体"/>
        </w:rPr>
        <w:t>供电</w:t>
      </w:r>
    </w:p>
    <w:p w14:paraId="6AE12728">
      <w:pPr>
        <w:pStyle w:val="22"/>
        <w:ind w:left="141" w:leftChars="67"/>
        <w:rPr>
          <w:rFonts w:ascii="Times New Roman"/>
          <w:szCs w:val="21"/>
        </w:rPr>
      </w:pPr>
      <w:r>
        <w:rPr>
          <w:rFonts w:hint="eastAsia" w:ascii="Times New Roman"/>
          <w:szCs w:val="21"/>
        </w:rPr>
        <w:t>a) 每套CPE装置采用两路220V AC电源供电。</w:t>
      </w:r>
    </w:p>
    <w:p w14:paraId="5AA810DB">
      <w:pPr>
        <w:pStyle w:val="22"/>
        <w:ind w:left="141" w:leftChars="67"/>
        <w:rPr>
          <w:rFonts w:ascii="Times New Roman"/>
          <w:szCs w:val="21"/>
        </w:rPr>
      </w:pPr>
      <w:r>
        <w:rPr>
          <w:rFonts w:hint="eastAsia" w:ascii="Times New Roman"/>
          <w:szCs w:val="21"/>
        </w:rPr>
        <w:t>b) 每套CPE装置所在机柜柜内设两对独立的直流电源组件，每对中的两个电源组件分别采用两路外电源中的一路供电。</w:t>
      </w:r>
    </w:p>
    <w:p w14:paraId="7C9B8DFA">
      <w:pPr>
        <w:pStyle w:val="22"/>
        <w:ind w:left="141" w:leftChars="67"/>
        <w:rPr>
          <w:rFonts w:ascii="Times New Roman"/>
          <w:szCs w:val="21"/>
        </w:rPr>
      </w:pPr>
      <w:r>
        <w:rPr>
          <w:rFonts w:hint="eastAsia" w:ascii="Times New Roman"/>
          <w:szCs w:val="21"/>
        </w:rPr>
        <w:t>c) 其中一对直流电源组件给信号分配组件和逻辑符合组件等电路冗余供电；另一对直流电源组件给驱动组件冗余供电。</w:t>
      </w:r>
    </w:p>
    <w:p w14:paraId="76A2A9A7">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.7</w:t>
      </w:r>
      <w:r>
        <w:rPr>
          <w:rFonts w:hint="eastAsia" w:ascii="黑体" w:hAnsi="黑体" w:eastAsia="黑体" w:cs="黑体"/>
          <w:lang w:val="en-US" w:eastAsia="zh-CN"/>
        </w:rPr>
        <w:t xml:space="preserve"> </w:t>
      </w:r>
      <w:r>
        <w:rPr>
          <w:rFonts w:hint="eastAsia" w:ascii="黑体" w:hAnsi="黑体" w:eastAsia="黑体" w:cs="黑体"/>
        </w:rPr>
        <w:t>接地</w:t>
      </w:r>
    </w:p>
    <w:p w14:paraId="595352FE">
      <w:pPr>
        <w:pStyle w:val="22"/>
        <w:ind w:left="141" w:leftChars="67"/>
        <w:rPr>
          <w:rFonts w:ascii="Times New Roman"/>
          <w:szCs w:val="21"/>
        </w:rPr>
      </w:pPr>
      <w:r>
        <w:rPr>
          <w:rFonts w:hint="eastAsia" w:ascii="Times New Roman"/>
          <w:szCs w:val="21"/>
        </w:rPr>
        <w:t>a) CPE柜中应设有独立的安全地、信号参考地、屏蔽地及相应接地铜排。CPE柜内所有电子组件／机柜之间的接地互连电缆应由供货方提供。</w:t>
      </w:r>
    </w:p>
    <w:p w14:paraId="6CA3C6B1">
      <w:pPr>
        <w:pStyle w:val="22"/>
        <w:ind w:left="141" w:leftChars="67"/>
        <w:rPr>
          <w:rFonts w:ascii="Times New Roman"/>
          <w:szCs w:val="21"/>
        </w:rPr>
      </w:pPr>
      <w:r>
        <w:rPr>
          <w:rFonts w:hint="eastAsia" w:ascii="Times New Roman"/>
          <w:szCs w:val="21"/>
        </w:rPr>
        <w:t>b) 在机柜内应提供足够多的屏蔽接线端子，以满足所有屏蔽信号在机柜侧接地的要求。</w:t>
      </w:r>
    </w:p>
    <w:p w14:paraId="620A6E22">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.8</w:t>
      </w:r>
      <w:r>
        <w:rPr>
          <w:rFonts w:hint="eastAsia" w:ascii="黑体" w:hAnsi="黑体" w:eastAsia="黑体" w:cs="黑体"/>
          <w:lang w:val="en-US" w:eastAsia="zh-CN"/>
        </w:rPr>
        <w:t xml:space="preserve"> </w:t>
      </w:r>
      <w:r>
        <w:rPr>
          <w:rFonts w:hint="eastAsia" w:ascii="黑体" w:hAnsi="黑体" w:eastAsia="黑体" w:cs="黑体"/>
        </w:rPr>
        <w:t>人机接口</w:t>
      </w:r>
    </w:p>
    <w:p w14:paraId="452FF5AD">
      <w:pPr>
        <w:pStyle w:val="22"/>
        <w:ind w:left="141" w:leftChars="67"/>
        <w:rPr>
          <w:rFonts w:ascii="Times New Roman"/>
          <w:szCs w:val="21"/>
        </w:rPr>
      </w:pPr>
      <w:r>
        <w:rPr>
          <w:rFonts w:hint="eastAsia" w:ascii="Times New Roman"/>
          <w:szCs w:val="21"/>
        </w:rPr>
        <w:t>若CPE系统（含周期性校验手段）存在人机接口，则应满足人因工程相关要求。</w:t>
      </w:r>
    </w:p>
    <w:p w14:paraId="5BF0DA31">
      <w:pPr>
        <w:pStyle w:val="22"/>
        <w:ind w:firstLine="0" w:firstLineChars="0"/>
        <w:rPr>
          <w:rFonts w:ascii="黑体" w:hAnsi="黑体" w:eastAsia="黑体" w:cs="黑体"/>
        </w:rPr>
      </w:pPr>
      <w:r>
        <w:rPr>
          <w:rFonts w:ascii="黑体" w:hAnsi="黑体" w:eastAsia="黑体" w:cs="黑体"/>
        </w:rPr>
        <w:t>6.4</w:t>
      </w:r>
      <w:r>
        <w:rPr>
          <w:rFonts w:hint="eastAsia" w:ascii="黑体" w:hAnsi="黑体" w:eastAsia="黑体" w:cs="黑体"/>
        </w:rPr>
        <w:t>.9</w:t>
      </w:r>
      <w:r>
        <w:rPr>
          <w:rFonts w:hint="eastAsia" w:ascii="黑体" w:hAnsi="黑体" w:eastAsia="黑体" w:cs="黑体"/>
          <w:lang w:val="en-US" w:eastAsia="zh-CN"/>
        </w:rPr>
        <w:t xml:space="preserve"> </w:t>
      </w:r>
      <w:r>
        <w:rPr>
          <w:rFonts w:hint="eastAsia" w:ascii="黑体" w:hAnsi="黑体" w:eastAsia="黑体" w:cs="黑体"/>
        </w:rPr>
        <w:t>网络安全</w:t>
      </w:r>
    </w:p>
    <w:p w14:paraId="41EF7CAB">
      <w:pPr>
        <w:pStyle w:val="22"/>
        <w:ind w:left="141" w:leftChars="67"/>
        <w:rPr>
          <w:rFonts w:ascii="Times New Roman"/>
          <w:szCs w:val="21"/>
        </w:rPr>
      </w:pPr>
      <w:r>
        <w:rPr>
          <w:rFonts w:hint="eastAsia" w:ascii="Times New Roman"/>
          <w:szCs w:val="21"/>
        </w:rPr>
        <w:t>按照“等级保护”中第三级安全要求，包括安全通用要求和工业控制系统安全扩展要求。</w:t>
      </w:r>
    </w:p>
    <w:p w14:paraId="1B8E710F">
      <w:pPr>
        <w:pStyle w:val="43"/>
        <w:spacing w:before="312" w:after="312"/>
      </w:pPr>
      <w:bookmarkStart w:id="66" w:name="_Toc219385429"/>
      <w:r>
        <w:rPr>
          <w:rFonts w:hint="eastAsia"/>
        </w:rPr>
        <w:t>周期性校验</w:t>
      </w:r>
      <w:bookmarkEnd w:id="66"/>
    </w:p>
    <w:p w14:paraId="4294041F">
      <w:pPr>
        <w:pStyle w:val="22"/>
        <w:rPr>
          <w:rFonts w:ascii="Times New Roman"/>
          <w:szCs w:val="21"/>
        </w:rPr>
      </w:pPr>
      <w:r>
        <w:rPr>
          <w:rFonts w:hint="eastAsia" w:ascii="Times New Roman"/>
          <w:szCs w:val="21"/>
        </w:rPr>
        <w:t>应可对CPE的触发功能进行周期性校验，对CPE系统的周期性校验安排在堆模块/堆模组停堆检修期间进行。</w:t>
      </w:r>
    </w:p>
    <w:p w14:paraId="436EF187">
      <w:pPr>
        <w:pStyle w:val="43"/>
        <w:spacing w:before="312" w:after="312"/>
      </w:pPr>
      <w:bookmarkStart w:id="67" w:name="_Toc219385430"/>
      <w:r>
        <w:rPr>
          <w:rFonts w:hint="eastAsia"/>
        </w:rPr>
        <w:t>安全分析</w:t>
      </w:r>
      <w:bookmarkEnd w:id="67"/>
    </w:p>
    <w:p w14:paraId="1234A0D6">
      <w:pPr>
        <w:ind w:firstLine="420" w:firstLineChars="200"/>
      </w:pPr>
      <w:r>
        <w:rPr>
          <w:rFonts w:hint="eastAsia"/>
        </w:rPr>
        <w:t>由于高温气冷堆具有良好的固有安全特性和平缓的堆芯瞬态特性，在ATWS事故下有足够的时间裕度使用手动方式触发停堆。因此本工程由保护系统自动产生紧急停堆触发信号，同时以手动触发停堆作为多样性后备。另外，紧急停堆的自动触发信号和手动触发信号均通过硬件电路产生联锁信号停主氦风机。</w:t>
      </w:r>
    </w:p>
    <w:p w14:paraId="080AEE96">
      <w:pPr>
        <w:ind w:firstLine="420" w:firstLineChars="200"/>
      </w:pPr>
      <w:r>
        <w:t>其中，当出现丧失主给水ATWS事故时，如果同时保护系统因软件共因失效而不能发出自动紧急停堆信号和联锁主氦风机停机信号时，作为后备的手动操作有足够的时间裕度触发紧急停堆，但是联锁关停主氦风机的时间较慢，有可能导致反应堆压力容器边界金属部件超温，为此设置了主氦风机停机多样性触发系统（CPE系统），及时自动关停主氦风机，从而避免上述反应堆压力容器边界金属部件超温。</w:t>
      </w:r>
    </w:p>
    <w:p w14:paraId="266FB6DA">
      <w:pPr>
        <w:pStyle w:val="57"/>
        <w:numPr>
          <w:ilvl w:val="0"/>
          <w:numId w:val="0"/>
        </w:numPr>
        <w:rPr>
          <w:rFonts w:ascii="Times New Roman" w:eastAsia="黑体"/>
        </w:rPr>
      </w:pPr>
      <w:r>
        <w:rPr>
          <w:rFonts w:ascii="Times New Roman"/>
        </w:rPr>
        <w:t>因此，本工程主氦风机停机多样性触发系统起到在丧失主给水ATWS事故下的设备保护功能，不作为多样性反应堆保护系统（DAS）。由于高温气冷堆的特性，ATWS事故下有足够的时间裕度，可使用手动触发停堆作为保护系统自动紧急停堆触发信号的多样性后备。</w:t>
      </w:r>
    </w:p>
    <w:p w14:paraId="26C6922D">
      <w:pPr>
        <w:pStyle w:val="128"/>
        <w:framePr w:wrap="around"/>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02BA6">
    <w:pPr>
      <w:pStyle w:val="41"/>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81190">
    <w:pPr>
      <w:pStyle w:val="42"/>
    </w:pPr>
    <w:r>
      <w:rPr>
        <w:rFonts w:hint="eastAsia"/>
      </w:rPr>
      <w:t>T</w:t>
    </w:r>
    <w:r>
      <w:t>/</w:t>
    </w:r>
    <w:r>
      <w:rPr>
        <w:rFonts w:hint="eastAsia"/>
      </w:rPr>
      <w:t>CNS</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pStyle w:val="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0"/>
  <w:defaultTabStop w:val="368"/>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jgyMjRiNzA4NTExNDliYmEwMzFiYzhiZjZkODEzYWIifQ=="/>
  </w:docVars>
  <w:rsids>
    <w:rsidRoot w:val="00172A27"/>
    <w:rsid w:val="00000244"/>
    <w:rsid w:val="0000185F"/>
    <w:rsid w:val="0000586F"/>
    <w:rsid w:val="00013D86"/>
    <w:rsid w:val="00013E02"/>
    <w:rsid w:val="0002143C"/>
    <w:rsid w:val="00025A65"/>
    <w:rsid w:val="00026C31"/>
    <w:rsid w:val="00027280"/>
    <w:rsid w:val="000320A7"/>
    <w:rsid w:val="000356F3"/>
    <w:rsid w:val="00035925"/>
    <w:rsid w:val="00036A0C"/>
    <w:rsid w:val="000373E4"/>
    <w:rsid w:val="00042B54"/>
    <w:rsid w:val="000440B0"/>
    <w:rsid w:val="0005437D"/>
    <w:rsid w:val="000543E0"/>
    <w:rsid w:val="00064746"/>
    <w:rsid w:val="0006615B"/>
    <w:rsid w:val="00067CDF"/>
    <w:rsid w:val="00071231"/>
    <w:rsid w:val="00074FBE"/>
    <w:rsid w:val="00077B67"/>
    <w:rsid w:val="00081261"/>
    <w:rsid w:val="0008290D"/>
    <w:rsid w:val="00083A09"/>
    <w:rsid w:val="0009005E"/>
    <w:rsid w:val="000907B1"/>
    <w:rsid w:val="00092857"/>
    <w:rsid w:val="00093FA7"/>
    <w:rsid w:val="00094069"/>
    <w:rsid w:val="00095C2A"/>
    <w:rsid w:val="000971AE"/>
    <w:rsid w:val="000A20A9"/>
    <w:rsid w:val="000A48B1"/>
    <w:rsid w:val="000B3143"/>
    <w:rsid w:val="000B31AC"/>
    <w:rsid w:val="000B67FF"/>
    <w:rsid w:val="000C2D5B"/>
    <w:rsid w:val="000C3148"/>
    <w:rsid w:val="000C6B05"/>
    <w:rsid w:val="000C6DD6"/>
    <w:rsid w:val="000C73D4"/>
    <w:rsid w:val="000D3D4C"/>
    <w:rsid w:val="000D4F51"/>
    <w:rsid w:val="000D524A"/>
    <w:rsid w:val="000D52FC"/>
    <w:rsid w:val="000D718B"/>
    <w:rsid w:val="000E0C46"/>
    <w:rsid w:val="000E1391"/>
    <w:rsid w:val="000F030C"/>
    <w:rsid w:val="000F129C"/>
    <w:rsid w:val="000F5DAD"/>
    <w:rsid w:val="00103B91"/>
    <w:rsid w:val="001056DE"/>
    <w:rsid w:val="001124C0"/>
    <w:rsid w:val="00112EF1"/>
    <w:rsid w:val="00113CDC"/>
    <w:rsid w:val="00116155"/>
    <w:rsid w:val="0011764E"/>
    <w:rsid w:val="0013124D"/>
    <w:rsid w:val="0013175F"/>
    <w:rsid w:val="00131BBF"/>
    <w:rsid w:val="00134097"/>
    <w:rsid w:val="0014656F"/>
    <w:rsid w:val="001512B4"/>
    <w:rsid w:val="001525AE"/>
    <w:rsid w:val="00161EB9"/>
    <w:rsid w:val="001620A5"/>
    <w:rsid w:val="00162DDF"/>
    <w:rsid w:val="00164E53"/>
    <w:rsid w:val="0016699D"/>
    <w:rsid w:val="00172A27"/>
    <w:rsid w:val="00175159"/>
    <w:rsid w:val="00176208"/>
    <w:rsid w:val="0018211B"/>
    <w:rsid w:val="001840D3"/>
    <w:rsid w:val="0018435E"/>
    <w:rsid w:val="001900F8"/>
    <w:rsid w:val="00191258"/>
    <w:rsid w:val="00192680"/>
    <w:rsid w:val="00193037"/>
    <w:rsid w:val="00193A2C"/>
    <w:rsid w:val="00195C94"/>
    <w:rsid w:val="00196486"/>
    <w:rsid w:val="001A288E"/>
    <w:rsid w:val="001A5962"/>
    <w:rsid w:val="001A6241"/>
    <w:rsid w:val="001A6B17"/>
    <w:rsid w:val="001B01F1"/>
    <w:rsid w:val="001B6DC2"/>
    <w:rsid w:val="001C149C"/>
    <w:rsid w:val="001C1DA2"/>
    <w:rsid w:val="001C21AC"/>
    <w:rsid w:val="001C47BA"/>
    <w:rsid w:val="001C59EA"/>
    <w:rsid w:val="001D0224"/>
    <w:rsid w:val="001D18DB"/>
    <w:rsid w:val="001D1E1B"/>
    <w:rsid w:val="001D406C"/>
    <w:rsid w:val="001D41EE"/>
    <w:rsid w:val="001D563A"/>
    <w:rsid w:val="001E0380"/>
    <w:rsid w:val="001E13B1"/>
    <w:rsid w:val="001E272D"/>
    <w:rsid w:val="001E3352"/>
    <w:rsid w:val="001E7124"/>
    <w:rsid w:val="001F3A19"/>
    <w:rsid w:val="001F7DDE"/>
    <w:rsid w:val="00203763"/>
    <w:rsid w:val="00207E7F"/>
    <w:rsid w:val="00213A90"/>
    <w:rsid w:val="002159A8"/>
    <w:rsid w:val="0021704A"/>
    <w:rsid w:val="00220389"/>
    <w:rsid w:val="00220B28"/>
    <w:rsid w:val="002318BF"/>
    <w:rsid w:val="00234467"/>
    <w:rsid w:val="0023529B"/>
    <w:rsid w:val="002357C8"/>
    <w:rsid w:val="00237D8D"/>
    <w:rsid w:val="0024019C"/>
    <w:rsid w:val="00241DA2"/>
    <w:rsid w:val="00243C53"/>
    <w:rsid w:val="002476E9"/>
    <w:rsid w:val="00247FEE"/>
    <w:rsid w:val="00250E7D"/>
    <w:rsid w:val="002565B3"/>
    <w:rsid w:val="002565D5"/>
    <w:rsid w:val="002622C0"/>
    <w:rsid w:val="00263599"/>
    <w:rsid w:val="002701F8"/>
    <w:rsid w:val="002778AE"/>
    <w:rsid w:val="0028269A"/>
    <w:rsid w:val="00283590"/>
    <w:rsid w:val="00286973"/>
    <w:rsid w:val="00294E70"/>
    <w:rsid w:val="00295415"/>
    <w:rsid w:val="002A1924"/>
    <w:rsid w:val="002A3A98"/>
    <w:rsid w:val="002A54F1"/>
    <w:rsid w:val="002A7420"/>
    <w:rsid w:val="002B0F12"/>
    <w:rsid w:val="002B1308"/>
    <w:rsid w:val="002B42BA"/>
    <w:rsid w:val="002B4554"/>
    <w:rsid w:val="002C6978"/>
    <w:rsid w:val="002C72D8"/>
    <w:rsid w:val="002C7FBD"/>
    <w:rsid w:val="002D11FA"/>
    <w:rsid w:val="002D57D3"/>
    <w:rsid w:val="002E06C5"/>
    <w:rsid w:val="002E0DDF"/>
    <w:rsid w:val="002E2906"/>
    <w:rsid w:val="002E5635"/>
    <w:rsid w:val="002E64C3"/>
    <w:rsid w:val="002E6A2C"/>
    <w:rsid w:val="002F0DD5"/>
    <w:rsid w:val="002F1D8C"/>
    <w:rsid w:val="002F21DA"/>
    <w:rsid w:val="002F4599"/>
    <w:rsid w:val="002F6770"/>
    <w:rsid w:val="002F78F9"/>
    <w:rsid w:val="00301F39"/>
    <w:rsid w:val="00315C66"/>
    <w:rsid w:val="00317B67"/>
    <w:rsid w:val="003203A4"/>
    <w:rsid w:val="003251F0"/>
    <w:rsid w:val="00325926"/>
    <w:rsid w:val="00327A8A"/>
    <w:rsid w:val="00333C83"/>
    <w:rsid w:val="00336610"/>
    <w:rsid w:val="00336661"/>
    <w:rsid w:val="00343BFD"/>
    <w:rsid w:val="00343F73"/>
    <w:rsid w:val="00345060"/>
    <w:rsid w:val="0035323B"/>
    <w:rsid w:val="00353B7B"/>
    <w:rsid w:val="003544A0"/>
    <w:rsid w:val="003555AB"/>
    <w:rsid w:val="003609D2"/>
    <w:rsid w:val="00361234"/>
    <w:rsid w:val="00363F22"/>
    <w:rsid w:val="003676D5"/>
    <w:rsid w:val="00371FF7"/>
    <w:rsid w:val="00375564"/>
    <w:rsid w:val="003756F5"/>
    <w:rsid w:val="00383191"/>
    <w:rsid w:val="00386DED"/>
    <w:rsid w:val="00387110"/>
    <w:rsid w:val="003912E7"/>
    <w:rsid w:val="00393304"/>
    <w:rsid w:val="00393947"/>
    <w:rsid w:val="003959CB"/>
    <w:rsid w:val="00397EB6"/>
    <w:rsid w:val="003A201A"/>
    <w:rsid w:val="003A2275"/>
    <w:rsid w:val="003A2779"/>
    <w:rsid w:val="003A2FAE"/>
    <w:rsid w:val="003A3F40"/>
    <w:rsid w:val="003A66B7"/>
    <w:rsid w:val="003A6A4F"/>
    <w:rsid w:val="003A7088"/>
    <w:rsid w:val="003B00DF"/>
    <w:rsid w:val="003B1275"/>
    <w:rsid w:val="003B1778"/>
    <w:rsid w:val="003C11CB"/>
    <w:rsid w:val="003C75F3"/>
    <w:rsid w:val="003C78A3"/>
    <w:rsid w:val="003E1867"/>
    <w:rsid w:val="003E2C66"/>
    <w:rsid w:val="003E5729"/>
    <w:rsid w:val="003F15D3"/>
    <w:rsid w:val="003F4EE0"/>
    <w:rsid w:val="003F7EB6"/>
    <w:rsid w:val="00401A11"/>
    <w:rsid w:val="00402153"/>
    <w:rsid w:val="00402FC1"/>
    <w:rsid w:val="00404CD2"/>
    <w:rsid w:val="00404F62"/>
    <w:rsid w:val="00406F35"/>
    <w:rsid w:val="00415657"/>
    <w:rsid w:val="00416C73"/>
    <w:rsid w:val="00425082"/>
    <w:rsid w:val="004272C7"/>
    <w:rsid w:val="00430E55"/>
    <w:rsid w:val="00431DEB"/>
    <w:rsid w:val="00433A56"/>
    <w:rsid w:val="004378D7"/>
    <w:rsid w:val="00444CA9"/>
    <w:rsid w:val="0044568B"/>
    <w:rsid w:val="004462B3"/>
    <w:rsid w:val="00446B29"/>
    <w:rsid w:val="0044734B"/>
    <w:rsid w:val="0045006F"/>
    <w:rsid w:val="00453F9A"/>
    <w:rsid w:val="00456CA7"/>
    <w:rsid w:val="00461B1B"/>
    <w:rsid w:val="0046201F"/>
    <w:rsid w:val="00463536"/>
    <w:rsid w:val="00464730"/>
    <w:rsid w:val="00464C43"/>
    <w:rsid w:val="004719EF"/>
    <w:rsid w:val="00471E91"/>
    <w:rsid w:val="00474675"/>
    <w:rsid w:val="0047470C"/>
    <w:rsid w:val="0047742B"/>
    <w:rsid w:val="00485E00"/>
    <w:rsid w:val="004A35F9"/>
    <w:rsid w:val="004A5E26"/>
    <w:rsid w:val="004B0C4C"/>
    <w:rsid w:val="004B24C1"/>
    <w:rsid w:val="004C292F"/>
    <w:rsid w:val="004C2FE0"/>
    <w:rsid w:val="004C4E29"/>
    <w:rsid w:val="004C6C58"/>
    <w:rsid w:val="004E5308"/>
    <w:rsid w:val="00500894"/>
    <w:rsid w:val="005041AC"/>
    <w:rsid w:val="00505CCF"/>
    <w:rsid w:val="00510280"/>
    <w:rsid w:val="005107F6"/>
    <w:rsid w:val="00512A67"/>
    <w:rsid w:val="00513D73"/>
    <w:rsid w:val="00514A43"/>
    <w:rsid w:val="005174E5"/>
    <w:rsid w:val="00522393"/>
    <w:rsid w:val="00522620"/>
    <w:rsid w:val="00525656"/>
    <w:rsid w:val="00531E87"/>
    <w:rsid w:val="005324A6"/>
    <w:rsid w:val="0053282C"/>
    <w:rsid w:val="00533E06"/>
    <w:rsid w:val="00534504"/>
    <w:rsid w:val="00534C02"/>
    <w:rsid w:val="00535FC4"/>
    <w:rsid w:val="0054264B"/>
    <w:rsid w:val="00543786"/>
    <w:rsid w:val="00551A64"/>
    <w:rsid w:val="00551D17"/>
    <w:rsid w:val="005533D7"/>
    <w:rsid w:val="00561DAD"/>
    <w:rsid w:val="0056245D"/>
    <w:rsid w:val="0056381A"/>
    <w:rsid w:val="00563A00"/>
    <w:rsid w:val="0056421C"/>
    <w:rsid w:val="005643E5"/>
    <w:rsid w:val="005703DE"/>
    <w:rsid w:val="00573C22"/>
    <w:rsid w:val="005816F6"/>
    <w:rsid w:val="0058464E"/>
    <w:rsid w:val="005A01CB"/>
    <w:rsid w:val="005A1E69"/>
    <w:rsid w:val="005A58FF"/>
    <w:rsid w:val="005A5D88"/>
    <w:rsid w:val="005A5EAF"/>
    <w:rsid w:val="005A64C0"/>
    <w:rsid w:val="005B1AA4"/>
    <w:rsid w:val="005B3C11"/>
    <w:rsid w:val="005C1C28"/>
    <w:rsid w:val="005C2BE1"/>
    <w:rsid w:val="005C2C26"/>
    <w:rsid w:val="005C5220"/>
    <w:rsid w:val="005C634B"/>
    <w:rsid w:val="005C6DB5"/>
    <w:rsid w:val="005D5D72"/>
    <w:rsid w:val="005E09CE"/>
    <w:rsid w:val="005E19E7"/>
    <w:rsid w:val="005E357B"/>
    <w:rsid w:val="006015D1"/>
    <w:rsid w:val="006054F5"/>
    <w:rsid w:val="00612F8C"/>
    <w:rsid w:val="0061716C"/>
    <w:rsid w:val="00620736"/>
    <w:rsid w:val="006243A1"/>
    <w:rsid w:val="006269F2"/>
    <w:rsid w:val="00631B74"/>
    <w:rsid w:val="00632E56"/>
    <w:rsid w:val="00635CBA"/>
    <w:rsid w:val="00640BDA"/>
    <w:rsid w:val="0064338B"/>
    <w:rsid w:val="00643867"/>
    <w:rsid w:val="0064386F"/>
    <w:rsid w:val="00646542"/>
    <w:rsid w:val="006504F4"/>
    <w:rsid w:val="00653257"/>
    <w:rsid w:val="00654BC9"/>
    <w:rsid w:val="006552FD"/>
    <w:rsid w:val="00655E34"/>
    <w:rsid w:val="00663AF3"/>
    <w:rsid w:val="00664644"/>
    <w:rsid w:val="00665C29"/>
    <w:rsid w:val="00665FBF"/>
    <w:rsid w:val="00666B6C"/>
    <w:rsid w:val="0067071B"/>
    <w:rsid w:val="00675161"/>
    <w:rsid w:val="00682682"/>
    <w:rsid w:val="00682702"/>
    <w:rsid w:val="00683734"/>
    <w:rsid w:val="0069036D"/>
    <w:rsid w:val="00692368"/>
    <w:rsid w:val="00693A37"/>
    <w:rsid w:val="006A2A26"/>
    <w:rsid w:val="006A2EBC"/>
    <w:rsid w:val="006A5EA0"/>
    <w:rsid w:val="006A62F3"/>
    <w:rsid w:val="006A783B"/>
    <w:rsid w:val="006A7B33"/>
    <w:rsid w:val="006B12F6"/>
    <w:rsid w:val="006B4E13"/>
    <w:rsid w:val="006B75DD"/>
    <w:rsid w:val="006C67E0"/>
    <w:rsid w:val="006C73CE"/>
    <w:rsid w:val="006C7ABA"/>
    <w:rsid w:val="006D0D60"/>
    <w:rsid w:val="006D1122"/>
    <w:rsid w:val="006D3C00"/>
    <w:rsid w:val="006E3675"/>
    <w:rsid w:val="006E4A7F"/>
    <w:rsid w:val="006F1314"/>
    <w:rsid w:val="006F6D46"/>
    <w:rsid w:val="0070013B"/>
    <w:rsid w:val="007009EC"/>
    <w:rsid w:val="00704DF6"/>
    <w:rsid w:val="0070651C"/>
    <w:rsid w:val="00711FD5"/>
    <w:rsid w:val="007132A3"/>
    <w:rsid w:val="00716421"/>
    <w:rsid w:val="007228A3"/>
    <w:rsid w:val="00723C46"/>
    <w:rsid w:val="00724818"/>
    <w:rsid w:val="00724EFB"/>
    <w:rsid w:val="007336D7"/>
    <w:rsid w:val="007419C3"/>
    <w:rsid w:val="007467A7"/>
    <w:rsid w:val="007469DD"/>
    <w:rsid w:val="00746E04"/>
    <w:rsid w:val="0074741B"/>
    <w:rsid w:val="0074759E"/>
    <w:rsid w:val="007478EA"/>
    <w:rsid w:val="0075415C"/>
    <w:rsid w:val="00763502"/>
    <w:rsid w:val="00780E28"/>
    <w:rsid w:val="007837F9"/>
    <w:rsid w:val="00784C5D"/>
    <w:rsid w:val="00785FE7"/>
    <w:rsid w:val="00786719"/>
    <w:rsid w:val="00790B39"/>
    <w:rsid w:val="00790D92"/>
    <w:rsid w:val="007913AB"/>
    <w:rsid w:val="007914F7"/>
    <w:rsid w:val="007961FC"/>
    <w:rsid w:val="007A38E9"/>
    <w:rsid w:val="007A3925"/>
    <w:rsid w:val="007A50FF"/>
    <w:rsid w:val="007A6B01"/>
    <w:rsid w:val="007A7883"/>
    <w:rsid w:val="007B1625"/>
    <w:rsid w:val="007B4275"/>
    <w:rsid w:val="007B6176"/>
    <w:rsid w:val="007B706E"/>
    <w:rsid w:val="007B71EB"/>
    <w:rsid w:val="007C3342"/>
    <w:rsid w:val="007C3F58"/>
    <w:rsid w:val="007C6205"/>
    <w:rsid w:val="007C686A"/>
    <w:rsid w:val="007C6CB9"/>
    <w:rsid w:val="007C728E"/>
    <w:rsid w:val="007D2A5F"/>
    <w:rsid w:val="007D2C53"/>
    <w:rsid w:val="007D3D60"/>
    <w:rsid w:val="007E1980"/>
    <w:rsid w:val="007E2BDB"/>
    <w:rsid w:val="007E4B76"/>
    <w:rsid w:val="007E5EA8"/>
    <w:rsid w:val="007F004C"/>
    <w:rsid w:val="007F0CF1"/>
    <w:rsid w:val="007F12A5"/>
    <w:rsid w:val="007F3B9E"/>
    <w:rsid w:val="007F4CF1"/>
    <w:rsid w:val="007F4E48"/>
    <w:rsid w:val="007F731E"/>
    <w:rsid w:val="007F758D"/>
    <w:rsid w:val="007F7D52"/>
    <w:rsid w:val="0080654C"/>
    <w:rsid w:val="00806B64"/>
    <w:rsid w:val="008071C6"/>
    <w:rsid w:val="00817A00"/>
    <w:rsid w:val="00817BB7"/>
    <w:rsid w:val="00820F09"/>
    <w:rsid w:val="008239F3"/>
    <w:rsid w:val="00827748"/>
    <w:rsid w:val="00832119"/>
    <w:rsid w:val="00832F54"/>
    <w:rsid w:val="00835DB3"/>
    <w:rsid w:val="0083617B"/>
    <w:rsid w:val="008371BD"/>
    <w:rsid w:val="00837A2F"/>
    <w:rsid w:val="00842A5A"/>
    <w:rsid w:val="00844090"/>
    <w:rsid w:val="008504A8"/>
    <w:rsid w:val="0085282E"/>
    <w:rsid w:val="00855B95"/>
    <w:rsid w:val="0087198C"/>
    <w:rsid w:val="00872C1F"/>
    <w:rsid w:val="00873B42"/>
    <w:rsid w:val="00876B55"/>
    <w:rsid w:val="00882A44"/>
    <w:rsid w:val="00882CEE"/>
    <w:rsid w:val="008856D8"/>
    <w:rsid w:val="0089146C"/>
    <w:rsid w:val="00892E82"/>
    <w:rsid w:val="00897885"/>
    <w:rsid w:val="008A1ADF"/>
    <w:rsid w:val="008A2DC4"/>
    <w:rsid w:val="008A3C3D"/>
    <w:rsid w:val="008B3F6B"/>
    <w:rsid w:val="008C1B58"/>
    <w:rsid w:val="008C38F9"/>
    <w:rsid w:val="008C39AE"/>
    <w:rsid w:val="008C590D"/>
    <w:rsid w:val="008D3939"/>
    <w:rsid w:val="008D690E"/>
    <w:rsid w:val="008D7EE2"/>
    <w:rsid w:val="008E031B"/>
    <w:rsid w:val="008E3DCC"/>
    <w:rsid w:val="008E3EB3"/>
    <w:rsid w:val="008E7029"/>
    <w:rsid w:val="008E7EF6"/>
    <w:rsid w:val="008F1F98"/>
    <w:rsid w:val="008F6758"/>
    <w:rsid w:val="0090072B"/>
    <w:rsid w:val="009040DD"/>
    <w:rsid w:val="00905B47"/>
    <w:rsid w:val="00907BF9"/>
    <w:rsid w:val="0091331C"/>
    <w:rsid w:val="009137DB"/>
    <w:rsid w:val="009165CA"/>
    <w:rsid w:val="00916645"/>
    <w:rsid w:val="00921425"/>
    <w:rsid w:val="009214F3"/>
    <w:rsid w:val="009279DE"/>
    <w:rsid w:val="00930116"/>
    <w:rsid w:val="00931D9B"/>
    <w:rsid w:val="009354A2"/>
    <w:rsid w:val="0094212C"/>
    <w:rsid w:val="00943B77"/>
    <w:rsid w:val="009444AD"/>
    <w:rsid w:val="0094681C"/>
    <w:rsid w:val="009475F6"/>
    <w:rsid w:val="0095113D"/>
    <w:rsid w:val="00951A68"/>
    <w:rsid w:val="00954689"/>
    <w:rsid w:val="00956EE1"/>
    <w:rsid w:val="009617C9"/>
    <w:rsid w:val="00961C93"/>
    <w:rsid w:val="009625FB"/>
    <w:rsid w:val="0096381C"/>
    <w:rsid w:val="00965324"/>
    <w:rsid w:val="0097091E"/>
    <w:rsid w:val="00972719"/>
    <w:rsid w:val="009736E2"/>
    <w:rsid w:val="009738D8"/>
    <w:rsid w:val="009760D3"/>
    <w:rsid w:val="00977132"/>
    <w:rsid w:val="00981A4B"/>
    <w:rsid w:val="00982501"/>
    <w:rsid w:val="009877D3"/>
    <w:rsid w:val="009906AB"/>
    <w:rsid w:val="00991C59"/>
    <w:rsid w:val="00994E8F"/>
    <w:rsid w:val="009951DC"/>
    <w:rsid w:val="009959BB"/>
    <w:rsid w:val="00997158"/>
    <w:rsid w:val="009A2FC2"/>
    <w:rsid w:val="009A3A7C"/>
    <w:rsid w:val="009A5E05"/>
    <w:rsid w:val="009B08A2"/>
    <w:rsid w:val="009B2ADB"/>
    <w:rsid w:val="009B5BD9"/>
    <w:rsid w:val="009B5C53"/>
    <w:rsid w:val="009B603A"/>
    <w:rsid w:val="009C14DF"/>
    <w:rsid w:val="009C260B"/>
    <w:rsid w:val="009C2ABA"/>
    <w:rsid w:val="009C2D0E"/>
    <w:rsid w:val="009C2D82"/>
    <w:rsid w:val="009C3DAC"/>
    <w:rsid w:val="009C42E0"/>
    <w:rsid w:val="009C6E0E"/>
    <w:rsid w:val="009C7902"/>
    <w:rsid w:val="009D4FF0"/>
    <w:rsid w:val="009D5362"/>
    <w:rsid w:val="009E1415"/>
    <w:rsid w:val="009E513D"/>
    <w:rsid w:val="009E6116"/>
    <w:rsid w:val="009E6D9D"/>
    <w:rsid w:val="009F6692"/>
    <w:rsid w:val="00A017C6"/>
    <w:rsid w:val="00A0205F"/>
    <w:rsid w:val="00A023F4"/>
    <w:rsid w:val="00A02E43"/>
    <w:rsid w:val="00A05E4A"/>
    <w:rsid w:val="00A065F9"/>
    <w:rsid w:val="00A07F34"/>
    <w:rsid w:val="00A1282D"/>
    <w:rsid w:val="00A21403"/>
    <w:rsid w:val="00A22154"/>
    <w:rsid w:val="00A25C38"/>
    <w:rsid w:val="00A274D5"/>
    <w:rsid w:val="00A30C04"/>
    <w:rsid w:val="00A34606"/>
    <w:rsid w:val="00A36BBE"/>
    <w:rsid w:val="00A40EDE"/>
    <w:rsid w:val="00A40FFC"/>
    <w:rsid w:val="00A4307A"/>
    <w:rsid w:val="00A43B6B"/>
    <w:rsid w:val="00A44A12"/>
    <w:rsid w:val="00A44ECE"/>
    <w:rsid w:val="00A46DF9"/>
    <w:rsid w:val="00A46E84"/>
    <w:rsid w:val="00A47CA9"/>
    <w:rsid w:val="00A47EBB"/>
    <w:rsid w:val="00A51CDD"/>
    <w:rsid w:val="00A601EB"/>
    <w:rsid w:val="00A6730D"/>
    <w:rsid w:val="00A71625"/>
    <w:rsid w:val="00A71B9B"/>
    <w:rsid w:val="00A751C7"/>
    <w:rsid w:val="00A759B0"/>
    <w:rsid w:val="00A803E1"/>
    <w:rsid w:val="00A818D2"/>
    <w:rsid w:val="00A821C3"/>
    <w:rsid w:val="00A87844"/>
    <w:rsid w:val="00A90F2A"/>
    <w:rsid w:val="00A93245"/>
    <w:rsid w:val="00A944A8"/>
    <w:rsid w:val="00A95895"/>
    <w:rsid w:val="00AA038C"/>
    <w:rsid w:val="00AA1181"/>
    <w:rsid w:val="00AA496E"/>
    <w:rsid w:val="00AA7A09"/>
    <w:rsid w:val="00AB3B50"/>
    <w:rsid w:val="00AB431C"/>
    <w:rsid w:val="00AC05B1"/>
    <w:rsid w:val="00AC20A8"/>
    <w:rsid w:val="00AC5167"/>
    <w:rsid w:val="00AD035D"/>
    <w:rsid w:val="00AD356C"/>
    <w:rsid w:val="00AD3813"/>
    <w:rsid w:val="00AD4719"/>
    <w:rsid w:val="00AD5943"/>
    <w:rsid w:val="00AE0F49"/>
    <w:rsid w:val="00AE2914"/>
    <w:rsid w:val="00AE50C8"/>
    <w:rsid w:val="00AE6045"/>
    <w:rsid w:val="00AE6D15"/>
    <w:rsid w:val="00AF4C64"/>
    <w:rsid w:val="00AF63EE"/>
    <w:rsid w:val="00B01DD8"/>
    <w:rsid w:val="00B04182"/>
    <w:rsid w:val="00B07AE3"/>
    <w:rsid w:val="00B11430"/>
    <w:rsid w:val="00B14298"/>
    <w:rsid w:val="00B14EA8"/>
    <w:rsid w:val="00B16BA2"/>
    <w:rsid w:val="00B20953"/>
    <w:rsid w:val="00B322B3"/>
    <w:rsid w:val="00B353EB"/>
    <w:rsid w:val="00B3748E"/>
    <w:rsid w:val="00B434AB"/>
    <w:rsid w:val="00B439C4"/>
    <w:rsid w:val="00B4535E"/>
    <w:rsid w:val="00B52A8C"/>
    <w:rsid w:val="00B636A8"/>
    <w:rsid w:val="00B66049"/>
    <w:rsid w:val="00B665C6"/>
    <w:rsid w:val="00B67418"/>
    <w:rsid w:val="00B67778"/>
    <w:rsid w:val="00B74035"/>
    <w:rsid w:val="00B7576A"/>
    <w:rsid w:val="00B805AF"/>
    <w:rsid w:val="00B83DCA"/>
    <w:rsid w:val="00B869EC"/>
    <w:rsid w:val="00B92E31"/>
    <w:rsid w:val="00B9397A"/>
    <w:rsid w:val="00B95B2E"/>
    <w:rsid w:val="00B9633D"/>
    <w:rsid w:val="00B974EA"/>
    <w:rsid w:val="00BA0FA7"/>
    <w:rsid w:val="00BA2EBE"/>
    <w:rsid w:val="00BB05C0"/>
    <w:rsid w:val="00BB0F28"/>
    <w:rsid w:val="00BB3FAE"/>
    <w:rsid w:val="00BB458A"/>
    <w:rsid w:val="00BB55AD"/>
    <w:rsid w:val="00BC04A9"/>
    <w:rsid w:val="00BD00D3"/>
    <w:rsid w:val="00BD1659"/>
    <w:rsid w:val="00BD3AA9"/>
    <w:rsid w:val="00BD4A18"/>
    <w:rsid w:val="00BD6865"/>
    <w:rsid w:val="00BD6DB2"/>
    <w:rsid w:val="00BE11CF"/>
    <w:rsid w:val="00BE21AB"/>
    <w:rsid w:val="00BE3354"/>
    <w:rsid w:val="00BE4393"/>
    <w:rsid w:val="00BE55CB"/>
    <w:rsid w:val="00BE6537"/>
    <w:rsid w:val="00BF10FD"/>
    <w:rsid w:val="00BF617A"/>
    <w:rsid w:val="00BF6CBB"/>
    <w:rsid w:val="00C03168"/>
    <w:rsid w:val="00C0379D"/>
    <w:rsid w:val="00C03931"/>
    <w:rsid w:val="00C05FE3"/>
    <w:rsid w:val="00C11E51"/>
    <w:rsid w:val="00C2136D"/>
    <w:rsid w:val="00C214EE"/>
    <w:rsid w:val="00C228C0"/>
    <w:rsid w:val="00C2314B"/>
    <w:rsid w:val="00C24971"/>
    <w:rsid w:val="00C24D4B"/>
    <w:rsid w:val="00C26BE5"/>
    <w:rsid w:val="00C26E4D"/>
    <w:rsid w:val="00C27909"/>
    <w:rsid w:val="00C27B03"/>
    <w:rsid w:val="00C314E1"/>
    <w:rsid w:val="00C34397"/>
    <w:rsid w:val="00C4095D"/>
    <w:rsid w:val="00C601D2"/>
    <w:rsid w:val="00C6127D"/>
    <w:rsid w:val="00C63802"/>
    <w:rsid w:val="00C65BCC"/>
    <w:rsid w:val="00C66970"/>
    <w:rsid w:val="00C67685"/>
    <w:rsid w:val="00C830B4"/>
    <w:rsid w:val="00C8691C"/>
    <w:rsid w:val="00C94EBF"/>
    <w:rsid w:val="00CA168A"/>
    <w:rsid w:val="00CA357E"/>
    <w:rsid w:val="00CA44F9"/>
    <w:rsid w:val="00CA4768"/>
    <w:rsid w:val="00CA4A69"/>
    <w:rsid w:val="00CA5125"/>
    <w:rsid w:val="00CB24CE"/>
    <w:rsid w:val="00CB275E"/>
    <w:rsid w:val="00CB4FFD"/>
    <w:rsid w:val="00CC3E0C"/>
    <w:rsid w:val="00CC5101"/>
    <w:rsid w:val="00CC5119"/>
    <w:rsid w:val="00CC5263"/>
    <w:rsid w:val="00CC58D3"/>
    <w:rsid w:val="00CC784D"/>
    <w:rsid w:val="00CD050B"/>
    <w:rsid w:val="00CD17FC"/>
    <w:rsid w:val="00CD2BE7"/>
    <w:rsid w:val="00CD3B87"/>
    <w:rsid w:val="00CE051F"/>
    <w:rsid w:val="00CE46EE"/>
    <w:rsid w:val="00D0337B"/>
    <w:rsid w:val="00D03784"/>
    <w:rsid w:val="00D079B2"/>
    <w:rsid w:val="00D1055B"/>
    <w:rsid w:val="00D10CE4"/>
    <w:rsid w:val="00D114E9"/>
    <w:rsid w:val="00D114FB"/>
    <w:rsid w:val="00D129BE"/>
    <w:rsid w:val="00D158DB"/>
    <w:rsid w:val="00D21715"/>
    <w:rsid w:val="00D2693F"/>
    <w:rsid w:val="00D26FC9"/>
    <w:rsid w:val="00D37D06"/>
    <w:rsid w:val="00D429C6"/>
    <w:rsid w:val="00D4470D"/>
    <w:rsid w:val="00D47748"/>
    <w:rsid w:val="00D51082"/>
    <w:rsid w:val="00D52403"/>
    <w:rsid w:val="00D54CC3"/>
    <w:rsid w:val="00D564DF"/>
    <w:rsid w:val="00D6041A"/>
    <w:rsid w:val="00D60671"/>
    <w:rsid w:val="00D616AA"/>
    <w:rsid w:val="00D633EB"/>
    <w:rsid w:val="00D81B6A"/>
    <w:rsid w:val="00D81E2F"/>
    <w:rsid w:val="00D82FF7"/>
    <w:rsid w:val="00D847FE"/>
    <w:rsid w:val="00D922CB"/>
    <w:rsid w:val="00D964EA"/>
    <w:rsid w:val="00D966D0"/>
    <w:rsid w:val="00D970E2"/>
    <w:rsid w:val="00DA0C59"/>
    <w:rsid w:val="00DA3991"/>
    <w:rsid w:val="00DB3911"/>
    <w:rsid w:val="00DB3AB5"/>
    <w:rsid w:val="00DB7E6C"/>
    <w:rsid w:val="00DC417B"/>
    <w:rsid w:val="00DC6644"/>
    <w:rsid w:val="00DC69C7"/>
    <w:rsid w:val="00DD483F"/>
    <w:rsid w:val="00DD5A29"/>
    <w:rsid w:val="00DD5D9D"/>
    <w:rsid w:val="00DD7639"/>
    <w:rsid w:val="00DE35CB"/>
    <w:rsid w:val="00DE7367"/>
    <w:rsid w:val="00DF029F"/>
    <w:rsid w:val="00DF15C7"/>
    <w:rsid w:val="00DF21E9"/>
    <w:rsid w:val="00DF5ED7"/>
    <w:rsid w:val="00E00F14"/>
    <w:rsid w:val="00E0175B"/>
    <w:rsid w:val="00E034F6"/>
    <w:rsid w:val="00E06386"/>
    <w:rsid w:val="00E1370B"/>
    <w:rsid w:val="00E17862"/>
    <w:rsid w:val="00E226AC"/>
    <w:rsid w:val="00E23E64"/>
    <w:rsid w:val="00E24EB4"/>
    <w:rsid w:val="00E254AC"/>
    <w:rsid w:val="00E320ED"/>
    <w:rsid w:val="00E33AFB"/>
    <w:rsid w:val="00E34218"/>
    <w:rsid w:val="00E37FA4"/>
    <w:rsid w:val="00E44056"/>
    <w:rsid w:val="00E46282"/>
    <w:rsid w:val="00E5216E"/>
    <w:rsid w:val="00E52594"/>
    <w:rsid w:val="00E535C4"/>
    <w:rsid w:val="00E71CA7"/>
    <w:rsid w:val="00E73A22"/>
    <w:rsid w:val="00E82344"/>
    <w:rsid w:val="00E84C82"/>
    <w:rsid w:val="00E84D64"/>
    <w:rsid w:val="00E87408"/>
    <w:rsid w:val="00E914C4"/>
    <w:rsid w:val="00E934F5"/>
    <w:rsid w:val="00E96961"/>
    <w:rsid w:val="00EA0B07"/>
    <w:rsid w:val="00EA72EC"/>
    <w:rsid w:val="00EB0D5F"/>
    <w:rsid w:val="00EB11CB"/>
    <w:rsid w:val="00EB275A"/>
    <w:rsid w:val="00EB786A"/>
    <w:rsid w:val="00EC1452"/>
    <w:rsid w:val="00EC1578"/>
    <w:rsid w:val="00EC1C72"/>
    <w:rsid w:val="00EC3A01"/>
    <w:rsid w:val="00EC3B7F"/>
    <w:rsid w:val="00EC3CC9"/>
    <w:rsid w:val="00EC4E09"/>
    <w:rsid w:val="00EC680A"/>
    <w:rsid w:val="00ED17E5"/>
    <w:rsid w:val="00ED785E"/>
    <w:rsid w:val="00EE05DA"/>
    <w:rsid w:val="00EE2713"/>
    <w:rsid w:val="00EE2BED"/>
    <w:rsid w:val="00EE374B"/>
    <w:rsid w:val="00EE45E4"/>
    <w:rsid w:val="00EF1DC0"/>
    <w:rsid w:val="00EF7613"/>
    <w:rsid w:val="00F00C3F"/>
    <w:rsid w:val="00F11BB5"/>
    <w:rsid w:val="00F1417B"/>
    <w:rsid w:val="00F170F2"/>
    <w:rsid w:val="00F17FE6"/>
    <w:rsid w:val="00F23F8A"/>
    <w:rsid w:val="00F24A59"/>
    <w:rsid w:val="00F34B99"/>
    <w:rsid w:val="00F3600A"/>
    <w:rsid w:val="00F400F0"/>
    <w:rsid w:val="00F40CE5"/>
    <w:rsid w:val="00F45231"/>
    <w:rsid w:val="00F45944"/>
    <w:rsid w:val="00F51793"/>
    <w:rsid w:val="00F52DAB"/>
    <w:rsid w:val="00F543F0"/>
    <w:rsid w:val="00F55BFE"/>
    <w:rsid w:val="00F648A1"/>
    <w:rsid w:val="00F72980"/>
    <w:rsid w:val="00F8039C"/>
    <w:rsid w:val="00F81D29"/>
    <w:rsid w:val="00F82BC5"/>
    <w:rsid w:val="00F87258"/>
    <w:rsid w:val="00F87B58"/>
    <w:rsid w:val="00F90CC9"/>
    <w:rsid w:val="00F91C4D"/>
    <w:rsid w:val="00F92FD9"/>
    <w:rsid w:val="00F93D52"/>
    <w:rsid w:val="00F97422"/>
    <w:rsid w:val="00FA6684"/>
    <w:rsid w:val="00FA731E"/>
    <w:rsid w:val="00FB2B38"/>
    <w:rsid w:val="00FB6023"/>
    <w:rsid w:val="00FC6358"/>
    <w:rsid w:val="00FD320D"/>
    <w:rsid w:val="00FD4D8C"/>
    <w:rsid w:val="00FD6E47"/>
    <w:rsid w:val="00FD7D4A"/>
    <w:rsid w:val="00FE23DE"/>
    <w:rsid w:val="00FE63F9"/>
    <w:rsid w:val="00FE6D1D"/>
    <w:rsid w:val="00FF65C3"/>
    <w:rsid w:val="01CA6F4B"/>
    <w:rsid w:val="038A42AE"/>
    <w:rsid w:val="04220375"/>
    <w:rsid w:val="04994E30"/>
    <w:rsid w:val="0C3722BA"/>
    <w:rsid w:val="0D42677B"/>
    <w:rsid w:val="0E245572"/>
    <w:rsid w:val="0E976783"/>
    <w:rsid w:val="10D053A3"/>
    <w:rsid w:val="12DB59E7"/>
    <w:rsid w:val="14150333"/>
    <w:rsid w:val="1449120F"/>
    <w:rsid w:val="17C74D63"/>
    <w:rsid w:val="180513B0"/>
    <w:rsid w:val="1A847BA2"/>
    <w:rsid w:val="1A8F43B3"/>
    <w:rsid w:val="1AC80C07"/>
    <w:rsid w:val="1C916599"/>
    <w:rsid w:val="20A047DE"/>
    <w:rsid w:val="23583F5E"/>
    <w:rsid w:val="24E570F7"/>
    <w:rsid w:val="26153106"/>
    <w:rsid w:val="269C7B3F"/>
    <w:rsid w:val="26C05A5A"/>
    <w:rsid w:val="285D48A0"/>
    <w:rsid w:val="29246146"/>
    <w:rsid w:val="298E6BA5"/>
    <w:rsid w:val="2A9211C9"/>
    <w:rsid w:val="2AA50A55"/>
    <w:rsid w:val="2B486454"/>
    <w:rsid w:val="2C165CF6"/>
    <w:rsid w:val="2C4323F1"/>
    <w:rsid w:val="2F697A88"/>
    <w:rsid w:val="32CF7E13"/>
    <w:rsid w:val="336966C9"/>
    <w:rsid w:val="34BB3A10"/>
    <w:rsid w:val="34E16FD5"/>
    <w:rsid w:val="361A3CEF"/>
    <w:rsid w:val="3C4876CA"/>
    <w:rsid w:val="3CD86E9E"/>
    <w:rsid w:val="3EC56EEE"/>
    <w:rsid w:val="3EF618CF"/>
    <w:rsid w:val="41807E2A"/>
    <w:rsid w:val="44543DD9"/>
    <w:rsid w:val="45B147A1"/>
    <w:rsid w:val="464D2686"/>
    <w:rsid w:val="477A23E4"/>
    <w:rsid w:val="4A1C7526"/>
    <w:rsid w:val="4A7D4C47"/>
    <w:rsid w:val="4BCE56CC"/>
    <w:rsid w:val="4CD36B70"/>
    <w:rsid w:val="4F9C0232"/>
    <w:rsid w:val="51E31268"/>
    <w:rsid w:val="53B74464"/>
    <w:rsid w:val="53FF5E1E"/>
    <w:rsid w:val="54E63D3C"/>
    <w:rsid w:val="57925299"/>
    <w:rsid w:val="5BC433D0"/>
    <w:rsid w:val="5CB12E81"/>
    <w:rsid w:val="5D9942F2"/>
    <w:rsid w:val="5DBC164A"/>
    <w:rsid w:val="5E004451"/>
    <w:rsid w:val="620F0A9E"/>
    <w:rsid w:val="6270026A"/>
    <w:rsid w:val="631840FD"/>
    <w:rsid w:val="633D725E"/>
    <w:rsid w:val="64537A84"/>
    <w:rsid w:val="64721843"/>
    <w:rsid w:val="647676D0"/>
    <w:rsid w:val="67775F91"/>
    <w:rsid w:val="679E6DEB"/>
    <w:rsid w:val="6A652063"/>
    <w:rsid w:val="6BA01C9D"/>
    <w:rsid w:val="6F7804D2"/>
    <w:rsid w:val="70F53DFE"/>
    <w:rsid w:val="74045C9F"/>
    <w:rsid w:val="74494298"/>
    <w:rsid w:val="77C90E66"/>
    <w:rsid w:val="7D21479B"/>
    <w:rsid w:val="7D393D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39"/>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link w:val="136"/>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qFormat/>
    <w:uiPriority w:val="39"/>
    <w:pPr>
      <w:tabs>
        <w:tab w:val="right" w:leader="dot" w:pos="9241"/>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198"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3"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1"/>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paragraph" w:styleId="30">
    <w:name w:val="annotation subject"/>
    <w:basedOn w:val="7"/>
    <w:next w:val="7"/>
    <w:link w:val="140"/>
    <w:qFormat/>
    <w:uiPriority w:val="0"/>
    <w:rPr>
      <w:b/>
      <w:bCs/>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Hyperlink"/>
    <w:qFormat/>
    <w:uiPriority w:val="99"/>
    <w:rPr>
      <w:color w:val="0000FF"/>
      <w:spacing w:val="0"/>
      <w:w w:val="100"/>
      <w:szCs w:val="21"/>
      <w:u w:val="single"/>
    </w:rPr>
  </w:style>
  <w:style w:type="character" w:styleId="37">
    <w:name w:val="annotation reference"/>
    <w:basedOn w:val="33"/>
    <w:qFormat/>
    <w:uiPriority w:val="0"/>
    <w:rPr>
      <w:sz w:val="21"/>
      <w:szCs w:val="21"/>
    </w:rPr>
  </w:style>
  <w:style w:type="character" w:styleId="38">
    <w:name w:val="footnote reference"/>
    <w:semiHidden/>
    <w:qFormat/>
    <w:uiPriority w:val="0"/>
    <w:rPr>
      <w:vertAlign w:val="superscript"/>
    </w:rPr>
  </w:style>
  <w:style w:type="character" w:customStyle="1" w:styleId="39">
    <w:name w:val="段 Char"/>
    <w:link w:val="22"/>
    <w:qFormat/>
    <w:uiPriority w:val="0"/>
    <w:rPr>
      <w:rFonts w:ascii="宋体"/>
      <w:sz w:val="21"/>
      <w:lang w:val="en-US" w:eastAsia="zh-CN" w:bidi="ar-SA"/>
    </w:rPr>
  </w:style>
  <w:style w:type="paragraph" w:customStyle="1" w:styleId="40">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2"/>
    <w:qFormat/>
    <w:uiPriority w:val="0"/>
    <w:pPr>
      <w:numPr>
        <w:ilvl w:val="2"/>
      </w:numPr>
      <w:spacing w:before="50" w:after="50"/>
      <w:outlineLvl w:val="3"/>
    </w:pPr>
  </w:style>
  <w:style w:type="paragraph" w:customStyle="1" w:styleId="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44"/>
    <w:next w:val="22"/>
    <w:qFormat/>
    <w:uiPriority w:val="0"/>
    <w:pPr>
      <w:numPr>
        <w:ilvl w:val="3"/>
      </w:numPr>
      <w:outlineLvl w:val="4"/>
    </w:pPr>
  </w:style>
  <w:style w:type="paragraph" w:customStyle="1" w:styleId="50">
    <w:name w:val="示例"/>
    <w:next w:val="51"/>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3">
    <w:name w:val="四级条标题"/>
    <w:basedOn w:val="49"/>
    <w:next w:val="22"/>
    <w:qFormat/>
    <w:uiPriority w:val="0"/>
    <w:pPr>
      <w:numPr>
        <w:ilvl w:val="4"/>
      </w:numPr>
      <w:outlineLvl w:val="5"/>
    </w:pPr>
  </w:style>
  <w:style w:type="paragraph" w:customStyle="1" w:styleId="54">
    <w:name w:val="五级条标题"/>
    <w:basedOn w:val="53"/>
    <w:next w:val="22"/>
    <w:qFormat/>
    <w:uiPriority w:val="0"/>
    <w:pPr>
      <w:numPr>
        <w:ilvl w:val="5"/>
      </w:numPr>
      <w:outlineLvl w:val="6"/>
    </w:pPr>
  </w:style>
  <w:style w:type="paragraph" w:customStyle="1" w:styleId="55">
    <w:name w:val="注："/>
    <w:next w:val="2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6">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7">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numPr>
        <w:ilvl w:val="2"/>
        <w:numId w:val="3"/>
      </w:numPr>
    </w:pPr>
    <w:rPr>
      <w:rFonts w:ascii="宋体"/>
      <w:szCs w:val="21"/>
    </w:rPr>
  </w:style>
  <w:style w:type="paragraph" w:customStyle="1" w:styleId="59">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0">
    <w:name w:val="示例×："/>
    <w:basedOn w:val="43"/>
    <w:qFormat/>
    <w:uiPriority w:val="0"/>
    <w:pPr>
      <w:numPr>
        <w:numId w:val="8"/>
      </w:numPr>
      <w:spacing w:beforeLines="0" w:afterLines="0"/>
      <w:outlineLvl w:val="9"/>
    </w:pPr>
    <w:rPr>
      <w:rFonts w:ascii="宋体" w:eastAsia="宋体"/>
      <w:sz w:val="18"/>
      <w:szCs w:val="18"/>
    </w:rPr>
  </w:style>
  <w:style w:type="paragraph" w:customStyle="1" w:styleId="61">
    <w:name w:val="二级无"/>
    <w:basedOn w:val="44"/>
    <w:qFormat/>
    <w:uiPriority w:val="0"/>
    <w:pPr>
      <w:spacing w:beforeLines="0" w:afterLines="0"/>
    </w:pPr>
    <w:rPr>
      <w:rFonts w:ascii="宋体" w:eastAsia="宋体"/>
    </w:rPr>
  </w:style>
  <w:style w:type="paragraph" w:customStyle="1" w:styleId="62">
    <w:name w:val="注：（正文）"/>
    <w:basedOn w:val="55"/>
    <w:next w:val="22"/>
    <w:qFormat/>
    <w:uiPriority w:val="0"/>
  </w:style>
  <w:style w:type="paragraph" w:customStyle="1" w:styleId="63">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qFormat/>
    <w:uiPriority w:val="0"/>
    <w:pPr>
      <w:jc w:val="left"/>
    </w:p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qFormat/>
    <w:uiPriority w:val="0"/>
    <w:rPr>
      <w:rFonts w:ascii="黑体" w:eastAsia="黑体"/>
      <w:spacing w:val="85"/>
      <w:w w:val="100"/>
      <w:position w:val="3"/>
      <w:sz w:val="28"/>
      <w:szCs w:val="28"/>
    </w:rPr>
  </w:style>
  <w:style w:type="paragraph" w:customStyle="1" w:styleId="72">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framePr w:wrap="around"/>
      <w:spacing w:before="370" w:line="400" w:lineRule="exact"/>
    </w:pPr>
    <w:rPr>
      <w:rFonts w:ascii="Times New Roman"/>
      <w:sz w:val="28"/>
      <w:szCs w:val="28"/>
    </w:rPr>
  </w:style>
  <w:style w:type="paragraph" w:customStyle="1" w:styleId="78">
    <w:name w:val="封面一致性程度标识"/>
    <w:basedOn w:val="77"/>
    <w:qFormat/>
    <w:uiPriority w:val="0"/>
    <w:pPr>
      <w:framePr w:wrap="around"/>
      <w:spacing w:before="440"/>
    </w:pPr>
    <w:rPr>
      <w:rFonts w:ascii="宋体" w:eastAsia="宋体"/>
    </w:rPr>
  </w:style>
  <w:style w:type="paragraph" w:customStyle="1" w:styleId="79">
    <w:name w:val="封面标准文稿类别"/>
    <w:basedOn w:val="78"/>
    <w:qFormat/>
    <w:uiPriority w:val="0"/>
    <w:pPr>
      <w:framePr w:wrap="around"/>
      <w:spacing w:after="160" w:line="240" w:lineRule="auto"/>
    </w:pPr>
    <w:rPr>
      <w:sz w:val="24"/>
    </w:rPr>
  </w:style>
  <w:style w:type="paragraph" w:customStyle="1" w:styleId="80">
    <w:name w:val="封面标准文稿编辑信息"/>
    <w:basedOn w:val="79"/>
    <w:qFormat/>
    <w:uiPriority w:val="0"/>
    <w:pPr>
      <w:framePr w:wrap="around"/>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2"/>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2"/>
    <w:next w:val="22"/>
    <w:qFormat/>
    <w:uiPriority w:val="0"/>
    <w:pPr>
      <w:ind w:firstLine="0" w:firstLineChars="0"/>
      <w:jc w:val="center"/>
    </w:pPr>
    <w:rPr>
      <w:rFonts w:ascii="黑体" w:eastAsia="黑体"/>
    </w:rPr>
  </w:style>
  <w:style w:type="paragraph" w:customStyle="1" w:styleId="84">
    <w:name w:val="附录表标号"/>
    <w:basedOn w:val="1"/>
    <w:next w:val="22"/>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5">
    <w:name w:val="附录表标题"/>
    <w:basedOn w:val="1"/>
    <w:next w:val="22"/>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2"/>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2"/>
    <w:next w:val="22"/>
    <w:link w:val="89"/>
    <w:qFormat/>
    <w:uiPriority w:val="0"/>
  </w:style>
  <w:style w:type="character" w:customStyle="1" w:styleId="89">
    <w:name w:val="附录公式 Char"/>
    <w:basedOn w:val="39"/>
    <w:link w:val="88"/>
    <w:qFormat/>
    <w:uiPriority w:val="0"/>
    <w:rPr>
      <w:rFonts w:ascii="宋体"/>
      <w:sz w:val="21"/>
      <w:lang w:val="en-US" w:eastAsia="zh-CN" w:bidi="ar-SA"/>
    </w:rPr>
  </w:style>
  <w:style w:type="paragraph" w:customStyle="1" w:styleId="90">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2"/>
    <w:qFormat/>
    <w:uiPriority w:val="0"/>
    <w:pPr>
      <w:numPr>
        <w:ilvl w:val="4"/>
      </w:numPr>
      <w:outlineLvl w:val="4"/>
    </w:pPr>
  </w:style>
  <w:style w:type="paragraph" w:customStyle="1" w:styleId="92">
    <w:name w:val="附录三级无"/>
    <w:basedOn w:val="91"/>
    <w:qFormat/>
    <w:uiPriority w:val="0"/>
    <w:pPr>
      <w:tabs>
        <w:tab w:val="clear" w:pos="360"/>
      </w:tabs>
      <w:spacing w:beforeLines="0" w:afterLines="0"/>
    </w:pPr>
    <w:rPr>
      <w:rFonts w:ascii="宋体" w:eastAsia="宋体"/>
      <w:szCs w:val="21"/>
    </w:rPr>
  </w:style>
  <w:style w:type="paragraph" w:customStyle="1" w:styleId="93">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4">
    <w:name w:val="附录四级条标题"/>
    <w:basedOn w:val="91"/>
    <w:next w:val="22"/>
    <w:qFormat/>
    <w:uiPriority w:val="0"/>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7">
    <w:name w:val="附录图标题"/>
    <w:basedOn w:val="1"/>
    <w:next w:val="22"/>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2"/>
    <w:qFormat/>
    <w:uiPriority w:val="0"/>
    <w:pPr>
      <w:numPr>
        <w:ilvl w:val="6"/>
      </w:numPr>
      <w:outlineLvl w:val="6"/>
    </w:pPr>
  </w:style>
  <w:style w:type="paragraph" w:customStyle="1" w:styleId="99">
    <w:name w:val="附录五级无"/>
    <w:basedOn w:val="98"/>
    <w:qFormat/>
    <w:uiPriority w:val="0"/>
    <w:pPr>
      <w:tabs>
        <w:tab w:val="clear" w:pos="360"/>
      </w:tabs>
      <w:spacing w:beforeLines="0" w:afterLines="0"/>
    </w:pPr>
    <w:rPr>
      <w:rFonts w:ascii="宋体" w:eastAsia="宋体"/>
      <w:szCs w:val="21"/>
    </w:rPr>
  </w:style>
  <w:style w:type="paragraph" w:customStyle="1" w:styleId="100">
    <w:name w:val="附录章标题"/>
    <w:next w:val="22"/>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2"/>
    <w:qFormat/>
    <w:uiPriority w:val="0"/>
    <w:pPr>
      <w:numPr>
        <w:ilvl w:val="2"/>
      </w:numPr>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wrap="around"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wrap="around" w:y="15310"/>
      <w:spacing w:line="0" w:lineRule="atLeast"/>
    </w:pPr>
    <w:rPr>
      <w:rFonts w:ascii="黑体" w:eastAsia="黑体"/>
      <w:b w:val="0"/>
    </w:rPr>
  </w:style>
  <w:style w:type="paragraph" w:customStyle="1" w:styleId="110">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wrap="around" w:vAnchor="page" w:hAnchor="text"/>
      <w:jc w:val="right"/>
    </w:pPr>
  </w:style>
  <w:style w:type="paragraph" w:customStyle="1" w:styleId="113">
    <w:name w:val="示例后文字"/>
    <w:basedOn w:val="22"/>
    <w:next w:val="22"/>
    <w:qFormat/>
    <w:uiPriority w:val="0"/>
    <w:pPr>
      <w:ind w:firstLine="360"/>
    </w:pPr>
    <w:rPr>
      <w:sz w:val="18"/>
    </w:rPr>
  </w:style>
  <w:style w:type="paragraph" w:customStyle="1" w:styleId="114">
    <w:name w:val="首示例"/>
    <w:next w:val="22"/>
    <w:link w:val="115"/>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5">
    <w:name w:val="首示例 Char"/>
    <w:link w:val="114"/>
    <w:qFormat/>
    <w:uiPriority w:val="0"/>
    <w:rPr>
      <w:rFonts w:ascii="宋体" w:hAnsi="宋体"/>
      <w:kern w:val="2"/>
      <w:sz w:val="18"/>
      <w:szCs w:val="18"/>
      <w:lang w:val="en-US" w:eastAsia="zh-CN" w:bidi="ar-SA"/>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3"/>
    <w:qFormat/>
    <w:uiPriority w:val="0"/>
    <w:pPr>
      <w:numPr>
        <w:numId w:val="0"/>
      </w:numPr>
      <w:jc w:val="both"/>
    </w:pPr>
  </w:style>
  <w:style w:type="paragraph" w:customStyle="1" w:styleId="118">
    <w:name w:val="图标脚注说明"/>
    <w:basedOn w:val="22"/>
    <w:qFormat/>
    <w:uiPriority w:val="0"/>
    <w:pPr>
      <w:ind w:left="840" w:hanging="420" w:firstLineChars="0"/>
    </w:pPr>
    <w:rPr>
      <w:sz w:val="18"/>
      <w:szCs w:val="18"/>
    </w:rPr>
  </w:style>
  <w:style w:type="paragraph" w:customStyle="1" w:styleId="119">
    <w:name w:val="图表脚注说明"/>
    <w:basedOn w:val="1"/>
    <w:qFormat/>
    <w:uiPriority w:val="0"/>
    <w:pPr>
      <w:numPr>
        <w:ilvl w:val="0"/>
        <w:numId w:val="15"/>
      </w:numPr>
    </w:pPr>
    <w:rPr>
      <w:rFonts w:ascii="宋体"/>
      <w:sz w:val="18"/>
      <w:szCs w:val="18"/>
    </w:rPr>
  </w:style>
  <w:style w:type="paragraph" w:customStyle="1" w:styleId="120">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character" w:customStyle="1" w:styleId="124">
    <w:name w:val="已访问的超链接1"/>
    <w:qFormat/>
    <w:uiPriority w:val="0"/>
    <w:rPr>
      <w:color w:val="800080"/>
      <w:u w:val="single"/>
    </w:rPr>
  </w:style>
  <w:style w:type="paragraph" w:customStyle="1" w:styleId="125">
    <w:name w:val="正文表标题"/>
    <w:next w:val="22"/>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2"/>
    <w:next w:val="22"/>
    <w:qFormat/>
    <w:uiPriority w:val="0"/>
    <w:pPr>
      <w:ind w:firstLine="0" w:firstLineChars="0"/>
    </w:pPr>
  </w:style>
  <w:style w:type="paragraph" w:customStyle="1" w:styleId="127">
    <w:name w:val="正文图标题"/>
    <w:next w:val="22"/>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8">
    <w:name w:val="终结线"/>
    <w:basedOn w:val="1"/>
    <w:qFormat/>
    <w:uiPriority w:val="0"/>
    <w:pPr>
      <w:framePr w:hSpace="181" w:vSpace="181" w:wrap="around" w:vAnchor="text" w:hAnchor="margin" w:xAlign="center" w:y="285"/>
    </w:pPr>
  </w:style>
  <w:style w:type="paragraph" w:customStyle="1" w:styleId="129">
    <w:name w:val="其他发布日期"/>
    <w:basedOn w:val="73"/>
    <w:qFormat/>
    <w:uiPriority w:val="0"/>
    <w:pPr>
      <w:framePr w:wrap="around" w:vAnchor="page" w:hAnchor="text" w:x="1419"/>
    </w:pPr>
  </w:style>
  <w:style w:type="paragraph" w:customStyle="1" w:styleId="130">
    <w:name w:val="其他实施日期"/>
    <w:basedOn w:val="112"/>
    <w:qFormat/>
    <w:uiPriority w:val="0"/>
    <w:pPr>
      <w:framePr w:wrap="around"/>
    </w:pPr>
  </w:style>
  <w:style w:type="paragraph" w:customStyle="1" w:styleId="131">
    <w:name w:val="封面标准名称2"/>
    <w:basedOn w:val="76"/>
    <w:qFormat/>
    <w:uiPriority w:val="0"/>
    <w:pPr>
      <w:framePr w:wrap="around" w:y="4469"/>
      <w:spacing w:beforeLines="630"/>
    </w:pPr>
  </w:style>
  <w:style w:type="paragraph" w:customStyle="1" w:styleId="132">
    <w:name w:val="封面标准英文名称2"/>
    <w:basedOn w:val="77"/>
    <w:qFormat/>
    <w:uiPriority w:val="0"/>
    <w:pPr>
      <w:framePr w:wrap="around" w:y="4469"/>
    </w:pPr>
  </w:style>
  <w:style w:type="paragraph" w:customStyle="1" w:styleId="133">
    <w:name w:val="封面一致性程度标识2"/>
    <w:basedOn w:val="78"/>
    <w:qFormat/>
    <w:uiPriority w:val="0"/>
    <w:pPr>
      <w:framePr w:wrap="around" w:y="4469"/>
    </w:pPr>
  </w:style>
  <w:style w:type="paragraph" w:customStyle="1" w:styleId="134">
    <w:name w:val="封面标准文稿类别2"/>
    <w:basedOn w:val="79"/>
    <w:qFormat/>
    <w:uiPriority w:val="0"/>
    <w:pPr>
      <w:framePr w:wrap="around" w:y="4469"/>
    </w:pPr>
  </w:style>
  <w:style w:type="paragraph" w:customStyle="1" w:styleId="135">
    <w:name w:val="封面标准文稿编辑信息2"/>
    <w:basedOn w:val="80"/>
    <w:qFormat/>
    <w:uiPriority w:val="0"/>
    <w:pPr>
      <w:framePr w:wrap="around" w:y="4469"/>
    </w:pPr>
  </w:style>
  <w:style w:type="character" w:customStyle="1" w:styleId="136">
    <w:name w:val="批注框文本 字符"/>
    <w:basedOn w:val="33"/>
    <w:link w:val="15"/>
    <w:qFormat/>
    <w:uiPriority w:val="0"/>
    <w:rPr>
      <w:kern w:val="2"/>
      <w:sz w:val="18"/>
      <w:szCs w:val="18"/>
    </w:rPr>
  </w:style>
  <w:style w:type="paragraph" w:customStyle="1" w:styleId="137">
    <w:name w:val="标准文件_段"/>
    <w:qFormat/>
    <w:uiPriority w:val="0"/>
    <w:pPr>
      <w:widowControl w:val="0"/>
      <w:autoSpaceDE w:val="0"/>
      <w:autoSpaceDN w:val="0"/>
      <w:adjustRightInd w:val="0"/>
      <w:snapToGrid w:val="0"/>
      <w:spacing w:line="276" w:lineRule="auto"/>
      <w:ind w:left="-105" w:leftChars="-50" w:right="-105" w:rightChars="-50" w:firstLine="52" w:firstLineChars="28"/>
      <w:jc w:val="center"/>
    </w:pPr>
    <w:rPr>
      <w:rFonts w:ascii="宋体" w:hAnsi="宋体" w:eastAsia="宋体" w:cs="Times New Roman"/>
      <w:spacing w:val="2"/>
      <w:position w:val="-24"/>
      <w:sz w:val="21"/>
      <w:szCs w:val="21"/>
      <w:lang w:val="en-US" w:eastAsia="zh-CN" w:bidi="ar-SA"/>
    </w:rPr>
  </w:style>
  <w:style w:type="paragraph" w:customStyle="1" w:styleId="138">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39">
    <w:name w:val="批注文字 字符"/>
    <w:basedOn w:val="33"/>
    <w:link w:val="7"/>
    <w:qFormat/>
    <w:uiPriority w:val="0"/>
    <w:rPr>
      <w:kern w:val="2"/>
      <w:sz w:val="21"/>
      <w:szCs w:val="24"/>
    </w:rPr>
  </w:style>
  <w:style w:type="character" w:customStyle="1" w:styleId="140">
    <w:name w:val="批注主题 字符"/>
    <w:basedOn w:val="139"/>
    <w:link w:val="30"/>
    <w:qFormat/>
    <w:uiPriority w:val="0"/>
    <w:rPr>
      <w:b/>
      <w:bCs/>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3078"/>
    <customShpInfo spid="_x0000_s3077"/>
    <customShpInfo spid="_x0000_s3076"/>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7</Pages>
  <Words>3135</Words>
  <Characters>3634</Characters>
  <Lines>33</Lines>
  <Paragraphs>9</Paragraphs>
  <TotalTime>69</TotalTime>
  <ScaleCrop>false</ScaleCrop>
  <LinksUpToDate>false</LinksUpToDate>
  <CharactersWithSpaces>3736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2026-07-03T02:47:00Z</dcterms:created>
  <dc:creator>CNIS</dc:creator>
  <cp:lastModifiedBy>La solitudine</cp:lastModifiedBy>
  <dcterms:modified xsi:type="dcterms:W3CDTF">2026-07-07T02:44:02Z</dcterms:modified>
  <dc:title>标准名称</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BE5066CB25254B66BE8BB445DC4E6898_13</vt:lpwstr>
  </property>
  <property fmtid="{D5CDD505-2E9C-101B-9397-08002B2CF9AE}" pid="4" name="KSOTemplateDocerSaveRecord">
    <vt:lpwstr>eyJoZGlkIjoiOGJjNWNjZjhhZmY1M2U4ZmMxNzZmNGNmMjQwNjFiNjIiLCJ1c2VySWQiOiI0NjE0NTI2MDMifQ==</vt:lpwstr>
  </property>
</Properties>
</file>